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bookmarkStart w:id="90" w:name="_GoBack"/>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2"/>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2"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rPr>
        <w:tab/>
      </w:r>
      <w:r>
        <w:rPr>
          <w:rFonts w:hint="eastAsia" w:ascii="宋体" w:hAnsi="宋体"/>
          <w:color w:val="auto"/>
          <w:sz w:val="28"/>
          <w:szCs w:val="28"/>
          <w:highlight w:val="none"/>
        </w:rPr>
        <w:t xml:space="preserve">JSZC-320583-SZYE-T2025-0053 </w:t>
      </w:r>
      <w:r/>
    </w:p>
    <w:p>
      <w:pPr>
        <w:ind w:left="2796" w:hanging="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江苏省昆山第一中等专业学校教学仪器设备</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昆山市教育装备与勤工俭学管理中心</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2025年</w:t>
      </w:r>
      <w:r>
        <w:rPr>
          <w:rFonts w:hint="eastAsia" w:ascii="宋体" w:hAnsi="宋体"/>
          <w:color w:val="auto"/>
          <w:sz w:val="28"/>
          <w:highlight w:val="none"/>
          <w:lang w:val="en-US" w:eastAsia="zh-CN"/>
        </w:rPr>
        <w:t xml:space="preserve">10</w:t>
      </w:r>
      <w:r>
        <w:rPr>
          <w:rFonts w:hint="eastAsia" w:ascii="宋体" w:hAnsi="宋体"/>
          <w:color w:val="auto"/>
          <w:sz w:val="28"/>
          <w:highlight w:val="none"/>
        </w:rPr>
        <w:t xml:space="preserve">月</w:t>
      </w:r>
      <w:r/>
    </w:p>
    <w:p>
      <w:pPr>
        <w:jc w:val="left"/>
        <w:widowControl/>
        <w:rPr>
          <w:rFonts w:ascii="宋体" w:hAnsi="宋体"/>
          <w:color w:val="auto"/>
          <w:sz w:val="28"/>
          <w:highlight w:val="none"/>
        </w:rPr>
      </w:pPr>
      <w:r>
        <w:rPr>
          <w:rFonts w:ascii="宋体" w:hAnsi="宋体"/>
          <w:color w:val="auto"/>
          <w:sz w:val="28"/>
          <w:highlight w:val="none"/>
        </w:rPr>
        <w:br w:type="page" w:clear="all"/>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11"/>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38"/>
          <w:rFonts w:hint="eastAsia"/>
          <w:color w:val="auto"/>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38"/>
          <w:rFonts w:hint="eastAsia"/>
          <w:color w:val="auto"/>
          <w:highlight w:val="none"/>
        </w:rPr>
        <w:t xml:space="preserve">第二章</w:t>
      </w:r>
      <w:r>
        <w:rPr>
          <w:rStyle w:val="738"/>
          <w:color w:val="auto"/>
          <w:highlight w:val="none"/>
        </w:rPr>
        <w:t xml:space="preserve"> </w:t>
      </w:r>
      <w:r>
        <w:rPr>
          <w:rStyle w:val="738"/>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38"/>
          <w:rFonts w:hint="eastAsia"/>
          <w:color w:val="auto"/>
          <w:highlight w:val="none"/>
        </w:rPr>
        <w:t xml:space="preserve">第三章</w:t>
      </w:r>
      <w:r>
        <w:rPr>
          <w:rStyle w:val="738"/>
          <w:color w:val="auto"/>
          <w:highlight w:val="none"/>
        </w:rPr>
        <w:t xml:space="preserve"> </w:t>
      </w:r>
      <w:r>
        <w:rPr>
          <w:rStyle w:val="738"/>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38"/>
          <w:rFonts w:hint="eastAsia"/>
          <w:color w:val="auto"/>
          <w:highlight w:val="none"/>
        </w:rPr>
        <w:t xml:space="preserve">第四章</w:t>
      </w:r>
      <w:r>
        <w:rPr>
          <w:rStyle w:val="738"/>
          <w:color w:val="auto"/>
          <w:highlight w:val="none"/>
        </w:rPr>
        <w:t xml:space="preserve"> </w:t>
      </w:r>
      <w:r>
        <w:rPr>
          <w:rStyle w:val="738"/>
          <w:rFonts w:hint="eastAsia"/>
          <w:color w:val="auto"/>
          <w:highlight w:val="none"/>
        </w:rPr>
        <w:t xml:space="preserve">竞争性谈判程序</w:t>
      </w:r>
      <w:r>
        <w:rPr>
          <w:color w:val="auto"/>
          <w:highlight w:val="none"/>
        </w:rPr>
        <w:tab/>
      </w:r>
      <w:r>
        <w:rPr>
          <w:color w:val="auto"/>
          <w:highlight w:val="none"/>
        </w:rPr>
        <w:fldChar w:fldCharType="begin"/>
      </w:r>
      <w:r>
        <w:rPr>
          <w:color w:val="auto"/>
          <w:highlight w:val="none"/>
        </w:rPr>
        <w:instrText xml:space="preserve"> PAGEREF _Toc166488921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38"/>
          <w:rFonts w:hint="eastAsia"/>
          <w:color w:val="auto"/>
          <w:highlight w:val="none"/>
        </w:rPr>
        <w:t xml:space="preserve">第五章</w:t>
      </w:r>
      <w:r>
        <w:rPr>
          <w:rStyle w:val="738"/>
          <w:color w:val="auto"/>
          <w:highlight w:val="none"/>
        </w:rPr>
        <w:t xml:space="preserve"> </w:t>
      </w:r>
      <w:r>
        <w:rPr>
          <w:rStyle w:val="738"/>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38"/>
          <w:rFonts w:hint="eastAsia"/>
          <w:color w:val="auto"/>
          <w:highlight w:val="none"/>
        </w:rPr>
        <w:t xml:space="preserve">第六章</w:t>
      </w:r>
      <w:r>
        <w:rPr>
          <w:rStyle w:val="738"/>
          <w:color w:val="auto"/>
          <w:highlight w:val="none"/>
        </w:rPr>
        <w:t xml:space="preserve"> </w:t>
      </w:r>
      <w:r>
        <w:rPr>
          <w:rStyle w:val="738"/>
          <w:rFonts w:hint="eastAsia"/>
          <w:color w:val="auto"/>
          <w:highlight w:val="none"/>
        </w:rPr>
        <w:t xml:space="preserve">评审方法</w:t>
      </w:r>
      <w:r>
        <w:rPr>
          <w:color w:val="auto"/>
          <w:highlight w:val="none"/>
        </w:rPr>
        <w:tab/>
      </w:r>
      <w:r>
        <w:rPr>
          <w:color w:val="auto"/>
          <w:highlight w:val="none"/>
        </w:rPr>
        <w:fldChar w:fldCharType="begin"/>
      </w:r>
      <w:r>
        <w:rPr>
          <w:color w:val="auto"/>
          <w:highlight w:val="none"/>
        </w:rPr>
        <w:instrText xml:space="preserve"> PAGEREF _Toc166488923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38"/>
          <w:rFonts w:hint="eastAsia"/>
          <w:color w:val="auto"/>
          <w:highlight w:val="none"/>
        </w:rPr>
        <w:t xml:space="preserve">第七章</w:t>
      </w:r>
      <w:r>
        <w:rPr>
          <w:rStyle w:val="738"/>
          <w:color w:val="auto"/>
          <w:highlight w:val="none"/>
        </w:rPr>
        <w:t xml:space="preserve"> </w:t>
      </w:r>
      <w:r>
        <w:rPr>
          <w:rStyle w:val="738"/>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pStyle w:val="711"/>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995"/>
          <w:color w:val="auto"/>
          <w:sz w:val="32"/>
          <w:szCs w:val="32"/>
          <w:highlight w:val="none"/>
        </w:rPr>
      </w:pPr>
      <w:r>
        <w:rPr>
          <w:color w:val="auto"/>
          <w:highlight w:val="none"/>
        </w:rPr>
        <w:br w:type="page" w:clear="all"/>
      </w:r>
      <w:r/>
    </w:p>
    <w:p>
      <w:pPr>
        <w:pStyle w:val="676"/>
        <w:jc w:val="center"/>
        <w:spacing w:line="240" w:lineRule="auto"/>
        <w:rPr>
          <w:color w:val="auto"/>
          <w:highlight w:val="none"/>
        </w:rPr>
      </w:pPr>
      <w:r/>
      <w:bookmarkStart w:id="2" w:name="_Toc166488918"/>
      <w:r>
        <w:rPr>
          <w:rStyle w:val="995"/>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668"/>
      <w:r/>
      <w:bookmarkStart w:id="4" w:name="_Toc477184669"/>
      <w:r/>
      <w:bookmarkStart w:id="5" w:name="_Toc477184527"/>
      <w:r/>
      <w:bookmarkStart w:id="6" w:name="_Toc477184528"/>
      <w:r>
        <w:rPr>
          <w:rFonts w:hint="eastAsia" w:ascii="宋体" w:hAnsi="宋体"/>
          <w:color w:val="auto"/>
          <w:szCs w:val="21"/>
          <w:highlight w:val="none"/>
        </w:rPr>
        <w:t xml:space="preserve">受</w:t>
      </w:r>
      <w:r>
        <w:rPr>
          <w:rFonts w:hint="eastAsia" w:ascii="宋体" w:hAnsi="宋体"/>
          <w:color w:val="auto"/>
          <w:szCs w:val="21"/>
          <w:highlight w:val="none"/>
          <w:u w:val="single"/>
        </w:rPr>
        <w:t xml:space="preserve">昆山市教育装备与勤工俭学管理中心</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rPr>
        <w:t xml:space="preserve">江苏省昆山第一中等专业学校教学仪器设备</w:t>
      </w:r>
      <w:r>
        <w:rPr>
          <w:rFonts w:hint="eastAsia" w:ascii="宋体" w:hAnsi="宋体"/>
          <w:color w:val="auto"/>
          <w:szCs w:val="21"/>
          <w:highlight w:val="none"/>
          <w:u w:val="none"/>
          <w:lang w:val="en-US" w:eastAsia="zh-CN"/>
        </w:rPr>
        <w:t xml:space="preserve">项目</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1.项目编号：JSZC-320583-SZYE-T2025-0053；</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：江苏省昆山第一中等专业学校教学仪器设备；</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伍拾壹万捌仟元整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518000.00</w:t>
      </w:r>
      <w:r>
        <w:rPr>
          <w:rFonts w:hint="eastAsia"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4.采购内容：江苏省昆山第一中等专业学校教学仪器设备，具体内容详见招标文件；</w:t>
      </w:r>
      <w:r/>
    </w:p>
    <w:p>
      <w:pPr>
        <w:ind w:right="178" w:firstLine="420"/>
        <w:spacing w:line="360" w:lineRule="auto"/>
        <w:rPr>
          <w:rFonts w:ascii="宋体" w:hAnsi="宋体"/>
          <w:b w:val="0"/>
          <w:bCs w:val="0"/>
          <w:color w:val="auto"/>
          <w:szCs w:val="21"/>
          <w:highlight w:val="none"/>
        </w:rPr>
      </w:pPr>
      <w:r>
        <w:rPr>
          <w:rFonts w:hint="eastAsia" w:ascii="宋体" w:hAnsi="宋体"/>
          <w:b/>
          <w:bCs/>
          <w:color w:val="auto"/>
          <w:szCs w:val="21"/>
          <w:highlight w:val="none"/>
        </w:rPr>
        <w:t xml:space="preserve">5.</w:t>
      </w:r>
      <w:r>
        <w:rPr>
          <w:rFonts w:hint="eastAsia" w:ascii="宋体" w:hAnsi="宋体"/>
          <w:b/>
          <w:bCs/>
          <w:color w:val="auto"/>
          <w:szCs w:val="21"/>
          <w:highlight w:val="none"/>
          <w:lang w:val="en-US" w:eastAsia="zh-CN"/>
        </w:rPr>
        <w:t xml:space="preserve">交货期</w:t>
      </w:r>
      <w:r>
        <w:rPr>
          <w:rFonts w:hint="eastAsia" w:ascii="宋体" w:hAnsi="宋体"/>
          <w:b/>
          <w:bCs/>
          <w:color w:val="auto"/>
          <w:szCs w:val="21"/>
          <w:highlight w:val="none"/>
        </w:rPr>
        <w:t xml:space="preserve">：合同签订生效后</w:t>
      </w:r>
      <w:r>
        <w:rPr>
          <w:rFonts w:hint="eastAsia" w:ascii="宋体" w:hAnsi="宋体"/>
          <w:b/>
          <w:bCs/>
          <w:color w:val="auto"/>
          <w:szCs w:val="21"/>
          <w:highlight w:val="none"/>
          <w:lang w:val="en-US" w:eastAsia="zh-CN"/>
        </w:rPr>
        <w:t xml:space="preserve">20</w:t>
      </w:r>
      <w:r>
        <w:rPr>
          <w:rFonts w:hint="eastAsia" w:ascii="宋体" w:hAnsi="宋体"/>
          <w:b/>
          <w:bCs/>
          <w:color w:val="auto"/>
          <w:szCs w:val="21"/>
          <w:highlight w:val="none"/>
        </w:rPr>
        <w:t xml:space="preserve">天内完成供货安装调试，并能通过采购方验收，交付采购方使用。</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6.本项目不接受联合体投标。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w:t>
      </w:r>
      <w:r>
        <w:rPr>
          <w:rFonts w:hint="eastAsia" w:ascii="宋体" w:hAnsi="宋体"/>
          <w:b/>
          <w:bCs/>
          <w:color w:val="auto"/>
          <w:szCs w:val="21"/>
          <w:highlight w:val="none"/>
        </w:rPr>
        <w:t xml:space="preserve">（提供相关材料）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bCs w:val="0"/>
          <w:color w:val="auto"/>
          <w:szCs w:val="21"/>
          <w:highlight w:val="none"/>
          <w:lang w:val="en-US" w:eastAsia="zh-CN"/>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color w:val="auto"/>
          <w:highlight w:val="none"/>
        </w:rPr>
        <w:t xml:space="preserve">2025年</w:t>
      </w:r>
      <w:r>
        <w:rPr>
          <w:rFonts w:hint="eastAsia" w:ascii="宋体" w:hAnsi="宋体"/>
          <w:color w:val="auto"/>
          <w:highlight w:val="none"/>
          <w:lang w:val="en-US" w:eastAsia="zh-CN"/>
        </w:rPr>
        <w:t xml:space="preserve">11</w:t>
      </w:r>
      <w:r>
        <w:rPr>
          <w:rFonts w:hint="eastAsia" w:ascii="宋体" w:hAnsi="宋体"/>
          <w:color w:val="auto"/>
          <w:highlight w:val="none"/>
        </w:rPr>
        <w:t xml:space="preserve">月</w:t>
      </w:r>
      <w:r>
        <w:rPr>
          <w:rFonts w:hint="eastAsia" w:ascii="宋体" w:hAnsi="宋体"/>
          <w:color w:val="auto"/>
          <w:highlight w:val="none"/>
          <w:lang w:val="en-US" w:eastAsia="zh-CN"/>
        </w:rPr>
        <w:t xml:space="preserve">05</w:t>
      </w:r>
      <w:r>
        <w:rPr>
          <w:rFonts w:hint="eastAsia" w:ascii="宋体" w:hAnsi="宋体"/>
          <w:color w:val="auto"/>
          <w:highlight w:val="none"/>
        </w:rPr>
        <w:t xml:space="preserve">日</w:t>
      </w:r>
      <w:r>
        <w:rPr>
          <w:rFonts w:hint="eastAsia" w:ascii="宋体" w:hAnsi="宋体"/>
          <w:color w:val="auto"/>
          <w:highlight w:val="none"/>
        </w:rPr>
        <w:t xml:space="preserve">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w:t>
      </w:r>
      <w:r>
        <w:rPr>
          <w:rFonts w:hint="eastAsia" w:ascii="宋体" w:hAnsi="宋体"/>
          <w:bCs/>
          <w:color w:val="auto"/>
          <w:szCs w:val="21"/>
          <w:highlight w:val="none"/>
        </w:rPr>
        <w:t xml:space="preserve">2025年</w:t>
      </w:r>
      <w:r>
        <w:rPr>
          <w:rFonts w:hint="eastAsia" w:ascii="宋体" w:hAnsi="宋体"/>
          <w:bCs/>
          <w:color w:val="auto"/>
          <w:szCs w:val="21"/>
          <w:highlight w:val="none"/>
          <w:lang w:val="en-US" w:eastAsia="zh-CN"/>
        </w:rPr>
        <w:t xml:space="preserve">11</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日</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w:t>
      </w:r>
      <w:r>
        <w:rPr>
          <w:rFonts w:hint="eastAsia" w:ascii="宋体" w:hAnsi="宋体"/>
          <w:bCs/>
          <w:color w:val="auto"/>
          <w:szCs w:val="21"/>
          <w:highlight w:val="none"/>
        </w:rPr>
        <w:t xml:space="preserve">2025年</w:t>
      </w:r>
      <w:r>
        <w:rPr>
          <w:rFonts w:hint="eastAsia" w:ascii="宋体" w:hAnsi="宋体"/>
          <w:bCs/>
          <w:color w:val="auto"/>
          <w:szCs w:val="21"/>
          <w:highlight w:val="none"/>
          <w:lang w:val="en-US" w:eastAsia="zh-CN"/>
        </w:rPr>
        <w:t xml:space="preserve">11</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日</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：昆山市教育装备与勤工俭学管理中心</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娄苑路171号</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张胤</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val="en-US" w:eastAsia="zh-CN"/>
        </w:rPr>
        <w:t xml:space="preserve">0512-36839612</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联系人：薛媛媛、姜晓明</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w:t>
      </w:r>
      <w:r>
        <w:rPr>
          <w:rFonts w:hint="eastAsia" w:ascii="宋体" w:hAnsi="宋体"/>
          <w:color w:val="auto"/>
          <w:szCs w:val="22"/>
          <w:highlight w:val="none"/>
        </w:rPr>
        <w:t xml:space="preserve"> 2025年</w:t>
      </w:r>
      <w:r>
        <w:rPr>
          <w:rFonts w:hint="eastAsia" w:ascii="宋体" w:hAnsi="宋体"/>
          <w:color w:val="auto"/>
          <w:szCs w:val="22"/>
          <w:highlight w:val="none"/>
          <w:lang w:val="en-US" w:eastAsia="zh-CN"/>
        </w:rPr>
        <w:t xml:space="preserve">10</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29</w:t>
      </w:r>
      <w:r>
        <w:rPr>
          <w:rFonts w:ascii="宋体" w:hAnsi="宋体"/>
          <w:color w:val="auto"/>
          <w:szCs w:val="22"/>
          <w:highlight w:val="none"/>
        </w:rPr>
        <w:t xml:space="preserve">日</w:t>
      </w:r>
      <w:r/>
    </w:p>
    <w:p>
      <w:pPr>
        <w:rPr>
          <w:rStyle w:val="995"/>
          <w:color w:val="auto"/>
          <w:sz w:val="32"/>
          <w:szCs w:val="32"/>
          <w:highlight w:val="none"/>
        </w:rPr>
      </w:pPr>
      <w:r>
        <w:rPr>
          <w:color w:val="auto"/>
          <w:sz w:val="32"/>
          <w:szCs w:val="32"/>
          <w:highlight w:val="none"/>
        </w:rPr>
      </w:r>
      <w:r/>
    </w:p>
    <w:p>
      <w:pPr>
        <w:pStyle w:val="676"/>
        <w:jc w:val="center"/>
        <w:spacing w:line="240" w:lineRule="auto"/>
        <w:rPr>
          <w:rStyle w:val="995"/>
          <w:b/>
          <w:bCs/>
          <w:color w:val="auto"/>
          <w:sz w:val="32"/>
          <w:szCs w:val="32"/>
          <w:highlight w:val="none"/>
        </w:rPr>
      </w:pPr>
      <w:r/>
      <w:bookmarkStart w:id="9" w:name="_Toc166488919"/>
      <w:r>
        <w:rPr>
          <w:rStyle w:val="995"/>
          <w:rFonts w:hint="eastAsia"/>
          <w:b/>
          <w:bCs/>
          <w:color w:val="auto"/>
          <w:sz w:val="32"/>
          <w:szCs w:val="32"/>
          <w:highlight w:val="none"/>
        </w:rPr>
        <w:t xml:space="preserve">第二章</w:t>
      </w:r>
      <w:bookmarkEnd w:id="3"/>
      <w:r/>
      <w:bookmarkEnd w:id="4"/>
      <w:r/>
      <w:bookmarkEnd w:id="5"/>
      <w:r/>
      <w:bookmarkEnd w:id="6"/>
      <w:r>
        <w:rPr>
          <w:rStyle w:val="995"/>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w:t>
      </w:r>
      <w:r>
        <w:rPr>
          <w:rFonts w:hint="eastAsia" w:ascii="宋体" w:hAnsi="宋体"/>
          <w:color w:val="auto"/>
          <w:highlight w:val="none"/>
        </w:rPr>
        <w:t xml:space="preserve">包括直至完成本项目全部服务内容的所有人力费用、物力费用、验收费及保险、劳保、专利技术、技术支持与人员培训等工作所发生的全部费用以及投标人企业利润、税金和政策性文件规定等一切费用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688"/>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688"/>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4提供法人或者其他组织的营业执照等证明文件、法定代表人身份证明；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1.5法定代表人授权委托书、被授权人身份证（如有授权）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688"/>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688"/>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688"/>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995"/>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shd w:val="nil"/>
        <w:rPr>
          <w:rStyle w:val="995"/>
          <w:b/>
          <w:bCs/>
          <w:color w:val="auto"/>
          <w:sz w:val="32"/>
          <w:szCs w:val="32"/>
          <w:highlight w:val="none"/>
        </w:rPr>
      </w:pPr>
      <w:r>
        <w:rPr>
          <w:highlight w:val="none"/>
        </w:rPr>
        <w:br w:type="page" w:clear="all"/>
      </w:r>
      <w:r>
        <w:rPr>
          <w:highlight w:val="none"/>
        </w:rPr>
      </w:r>
    </w:p>
    <w:p>
      <w:pPr>
        <w:pStyle w:val="676"/>
        <w:jc w:val="center"/>
        <w:spacing w:line="240" w:lineRule="auto"/>
        <w:rPr>
          <w:highlight w:val="none"/>
        </w:rPr>
      </w:pPr>
      <w:r>
        <w:rPr>
          <w:rStyle w:val="995"/>
          <w:rFonts w:hint="eastAsia"/>
          <w:b/>
          <w:bCs/>
          <w:color w:val="auto"/>
          <w:sz w:val="32"/>
          <w:szCs w:val="32"/>
          <w:highlight w:val="none"/>
        </w:rPr>
        <w:t xml:space="preserve">第三章 响应内容</w:t>
      </w:r>
      <w:bookmarkEnd w:id="10"/>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bookmarkStart w:id="11" w:name="_Toc166488921"/>
      <w:r/>
      <w:bookmarkStart w:id="12" w:name="_Toc477184672"/>
      <w:r/>
      <w:bookmarkStart w:id="13" w:name="_Toc477184531"/>
      <w:r/>
      <w:r/>
    </w:p>
    <w:p>
      <w:pPr>
        <w:spacing w:line="360" w:lineRule="auto"/>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一、</w:t>
      </w:r>
      <w:r>
        <w:rPr>
          <w:rFonts w:hint="eastAsia" w:ascii="宋体" w:hAnsi="宋体" w:eastAsia="宋体" w:cs="Times New Roman"/>
          <w:b/>
          <w:bCs/>
          <w:color w:val="auto"/>
          <w:szCs w:val="21"/>
          <w:highlight w:val="none"/>
        </w:rPr>
        <w:t xml:space="preserve">项目基本情况</w:t>
      </w:r>
      <w:r>
        <w:rPr>
          <w:rFonts w:hint="eastAsia" w:ascii="宋体" w:hAnsi="宋体" w:eastAsia="宋体" w:cs="Times New Roman"/>
          <w:b/>
          <w:color w:val="auto"/>
          <w:szCs w:val="21"/>
          <w:highlight w:val="none"/>
        </w:rPr>
        <w:t xml:space="preserve">：</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1.项目编号</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JSZC-320583-SZYE-T2025-0053</w:t>
      </w:r>
      <w:r>
        <w:rPr>
          <w:rFonts w:hint="eastAsia" w:ascii="宋体" w:hAnsi="宋体" w:eastAsia="宋体" w:cs="Times New Roman"/>
          <w:color w:val="auto"/>
          <w:szCs w:val="21"/>
          <w:highlight w:val="none"/>
        </w:rPr>
        <w:t xml:space="preserve">号；</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2.项目名称：</w:t>
      </w:r>
      <w:r>
        <w:rPr>
          <w:rFonts w:hint="eastAsia" w:ascii="宋体" w:hAnsi="宋体" w:eastAsia="宋体" w:cs="Times New Roman"/>
          <w:color w:val="auto"/>
          <w:szCs w:val="21"/>
          <w:highlight w:val="none"/>
        </w:rPr>
        <w:t xml:space="preserve">江苏省昆山第一中等专业学校教学仪器设备；</w:t>
      </w:r>
      <w:r/>
    </w:p>
    <w:p>
      <w:pPr>
        <w:spacing w:line="360" w:lineRule="auto"/>
        <w:rPr>
          <w:rFonts w:hint="eastAsia" w:ascii="宋体" w:hAnsi="宋体" w:eastAsia="宋体" w:cs="Times New Roman"/>
          <w:b w:val="0"/>
          <w:bCs w:val="0"/>
          <w:color w:val="auto"/>
          <w:szCs w:val="21"/>
          <w:highlight w:val="none"/>
          <w:lang w:eastAsia="zh-CN"/>
        </w:rPr>
      </w:pPr>
      <w:r>
        <w:rPr>
          <w:rFonts w:hint="eastAsia" w:ascii="宋体" w:hAnsi="宋体" w:eastAsia="宋体" w:cs="Times New Roman"/>
          <w:b/>
          <w:bCs/>
          <w:color w:val="auto"/>
          <w:szCs w:val="21"/>
          <w:highlight w:val="none"/>
        </w:rPr>
        <w:t xml:space="preserve">3.交付期：</w:t>
      </w:r>
      <w:r>
        <w:rPr>
          <w:rFonts w:hint="eastAsia" w:ascii="宋体" w:hAnsi="宋体" w:eastAsia="宋体" w:cs="Times New Roman"/>
          <w:b w:val="0"/>
          <w:bCs w:val="0"/>
          <w:color w:val="auto"/>
          <w:szCs w:val="21"/>
          <w:highlight w:val="none"/>
        </w:rPr>
        <w:t xml:space="preserve">同签订生效后</w:t>
      </w:r>
      <w:r>
        <w:rPr>
          <w:rFonts w:hint="eastAsia" w:ascii="宋体" w:hAnsi="宋体" w:cs="Times New Roman"/>
          <w:b w:val="0"/>
          <w:bCs w:val="0"/>
          <w:color w:val="auto"/>
          <w:szCs w:val="21"/>
          <w:highlight w:val="none"/>
          <w:lang w:val="en-US" w:eastAsia="zh-CN"/>
        </w:rPr>
        <w:t xml:space="preserve">20</w:t>
      </w:r>
      <w:r>
        <w:rPr>
          <w:rFonts w:hint="eastAsia" w:ascii="宋体" w:hAnsi="宋体" w:eastAsia="宋体" w:cs="Times New Roman"/>
          <w:b w:val="0"/>
          <w:bCs w:val="0"/>
          <w:color w:val="auto"/>
          <w:szCs w:val="21"/>
          <w:highlight w:val="none"/>
        </w:rPr>
        <w:t xml:space="preserve">天内完成供货安装调试，并能通过采购方验收，交付采购方使用</w:t>
      </w:r>
      <w:r>
        <w:rPr>
          <w:rFonts w:hint="eastAsia" w:ascii="宋体" w:hAnsi="宋体" w:eastAsia="宋体" w:cs="Times New Roman"/>
          <w:b w:val="0"/>
          <w:bCs w:val="0"/>
          <w:color w:val="auto"/>
          <w:szCs w:val="21"/>
          <w:highlight w:val="none"/>
          <w:lang w:eastAsia="zh-CN"/>
        </w:rPr>
        <w:t xml:space="preserve">；</w:t>
      </w:r>
      <w:r/>
    </w:p>
    <w:p>
      <w:pPr>
        <w:spacing w:line="360" w:lineRule="auto"/>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4.质保期：</w:t>
      </w:r>
      <w:r>
        <w:rPr>
          <w:rFonts w:hint="eastAsia" w:ascii="宋体" w:hAnsi="宋体" w:eastAsia="宋体" w:cs="Times New Roman"/>
          <w:b w:val="0"/>
          <w:bCs w:val="0"/>
          <w:color w:val="auto"/>
          <w:szCs w:val="21"/>
          <w:highlight w:val="none"/>
        </w:rPr>
        <w:t xml:space="preserve">1年，自验收合格之日起算。</w:t>
      </w:r>
      <w:r/>
    </w:p>
    <w:p>
      <w:pPr>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二、</w:t>
      </w:r>
      <w:r>
        <w:rPr>
          <w:rFonts w:hint="eastAsia" w:ascii="宋体" w:hAnsi="宋体" w:eastAsia="宋体" w:cs="Times New Roman"/>
          <w:b/>
          <w:bCs/>
          <w:color w:val="auto"/>
          <w:szCs w:val="21"/>
          <w:highlight w:val="none"/>
          <w:lang w:val="en-US" w:eastAsia="zh-CN"/>
        </w:rPr>
        <w:t xml:space="preserve">采购清单及要求</w:t>
      </w:r>
      <w:r>
        <w:rPr>
          <w:rFonts w:hint="eastAsia" w:ascii="宋体" w:hAnsi="宋体" w:eastAsia="宋体" w:cs="Times New Roman"/>
          <w:b/>
          <w:bCs/>
          <w:color w:val="auto"/>
          <w:szCs w:val="21"/>
          <w:highlight w:val="none"/>
        </w:rPr>
        <w:t xml:space="preserve">（招标内容及参数中涉及的品牌参数型号仅供参考，所投产品及参数不得低于招标文件要求）：</w:t>
      </w:r>
      <w:r/>
    </w:p>
    <w:p>
      <w:pPr>
        <w:keepLines w:val="0"/>
        <w:keepNext w:val="0"/>
        <w:pageBreakBefore w:val="0"/>
        <w:spacing w:line="360" w:lineRule="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bCs/>
          <w:color w:val="auto"/>
          <w:highlight w:val="none"/>
        </w:rPr>
        <w:t xml:space="preserve">本项目核心产品</w:t>
      </w:r>
      <w:r>
        <w:rPr>
          <w:rFonts w:hint="eastAsia" w:ascii="Times New Roman" w:hAnsi="Times New Roman" w:eastAsia="宋体" w:cs="Times New Roman"/>
          <w:b/>
          <w:bCs/>
          <w:color w:val="auto"/>
          <w:highlight w:val="none"/>
          <w:lang w:val="en-US" w:eastAsia="zh-CN"/>
        </w:rPr>
        <w:t xml:space="preserve">为：</w:t>
      </w:r>
      <w:r>
        <w:rPr>
          <w:rFonts w:hint="eastAsia" w:ascii="Times New Roman" w:hAnsi="Times New Roman" w:eastAsia="宋体" w:cs="Times New Roman"/>
          <w:b w:val="0"/>
          <w:bCs w:val="0"/>
          <w:color w:val="auto"/>
          <w:highlight w:val="none"/>
          <w:lang w:val="en-US" w:eastAsia="zh-CN"/>
        </w:rPr>
        <w:t xml:space="preserve">数控综合实训平台</w:t>
      </w:r>
      <w:r>
        <w:rPr>
          <w:rFonts w:hint="eastAsia" w:cs="Times New Roman"/>
          <w:b w:val="0"/>
          <w:bCs w:val="0"/>
          <w:color w:val="auto"/>
          <w:highlight w:val="none"/>
          <w:lang w:val="en-US" w:eastAsia="zh-CN"/>
        </w:rPr>
        <w:t xml:space="preserve">。</w:t>
      </w:r>
      <w:r/>
    </w:p>
    <w:p>
      <w:pPr>
        <w:numPr>
          <w:ilvl w:val="0"/>
          <w:numId w:val="12"/>
        </w:numPr>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数控综合实训考核平台技术要求及参数数量、实验室改造建设：6台</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1．数控综合实训考核平台技术要求及参数</w:t>
      </w:r>
      <w:r/>
    </w:p>
    <w:tbl>
      <w:tblPr>
        <w:tblStyle w:val="686"/>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44"/>
        <w:gridCol w:w="2004"/>
        <w:gridCol w:w="744"/>
        <w:gridCol w:w="744"/>
        <w:gridCol w:w="4204"/>
        <w:gridCol w:w="744"/>
      </w:tblGrid>
      <w:tr>
        <w:trPr>
          <w:jc w:val="center"/>
          <w:trHeight w:val="0"/>
          <w:tblHead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tabs>
                <w:tab w:val="left" w:pos="0" w:leader="none"/>
                <w:tab w:val="left" w:pos="267"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单位</w:t>
            </w:r>
            <w:r/>
          </w:p>
        </w:tc>
        <w:tc>
          <w:tcPr>
            <w:tcBorders>
              <w:top w:val="single" w:color="auto" w:sz="4" w:space="0"/>
              <w:left w:val="single" w:color="auto" w:sz="4" w:space="0"/>
              <w:bottom w:val="single" w:color="auto" w:sz="4" w:space="0"/>
              <w:right w:val="single" w:color="auto" w:sz="4" w:space="0"/>
            </w:tcBorders>
            <w:tcW w:w="420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技术要求及参数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numPr>
                <w:ilvl w:val="0"/>
                <w:numId w:val="0"/>
              </w:numPr>
              <w:jc w:val="center"/>
              <w:spacing w:line="260" w:lineRule="exact"/>
              <w:tabs>
                <w:tab w:val="left" w:pos="0" w:leader="none"/>
                <w:tab w:val="left" w:pos="2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数控综合实训平台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204" w:type="dxa"/>
            <w:vAlign w:val="center"/>
            <w:textDirection w:val="lrTb"/>
            <w:noWrap w:val="false"/>
          </w:tcPr>
          <w:p>
            <w:pPr>
              <w:jc w:val="left"/>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一、实训平台所含模块：</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1.数控车及加工中心两种真实机床操作模块</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2.数控车及加工中心两种实训虚拟仿真模块</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★3.含数控车及加工中心网络化考核模块</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（1）数控车模块达到江苏省学业水平测试技能考试要求 </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（2）加工中心模块达到考试大纲考试要求</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二、实训平台软件功能：</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★1.实现数控车FANUC 0iT、数控铣FANUC 0iM两种数控系统的真实编程与操作。</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★2.支持通过触控手势操作虚拟机床的缩放、平移和旋转等。</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3.支持数控车床的前后置刀架和四工位、八工位等四种刀架切换；加工中心模块可仿真立式刀库功能库和自动换刀机械手。</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★4.支持基准对刀、手动试切对刀和快速定位对刀功能，具有寻边器、基准芯棒、Z向对刀仪等对刀工具。</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5.零件切削加工仿真，带冷却液、加工声效、铁屑、断刀等特效，具有不同主轴转速不同声效的功能</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6.手动、自动加工模式下实时碰撞检测，如刀具与夹具、机床超行程、主轴不转时刀具与工件的碰撞。 </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★7.可自定义不同材料、类型和形状等参数的刀具，自定义毛坯尺寸，支持导入CAD模型作为毛坯，同时加工中心可导入车床工件，实现综合加工。</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★8.实现程序的预检验和刀具轨迹线生成，提供可视化数控代码调试工具，能够对照轨迹和程序进行修改。</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9.支持UG、PRO-E、Mastercam等CAM软件生成或自行编辑的程序进行模拟加工，并支持程序的导出。</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★10.加工后的模型三位测量和基于刀具切削参数零件粗糙度测量功能，提供虚拟千分尺和游标卡尺等在线测量工具。</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★11.教师机可实现对学生机广播教学、远程操控学生机、实时监控学生机实训操作状态。</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三、实训平台所含硬件：</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★1.车、铣独立可换机床操作面板和操作手轮</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★2.具有带编辑屏幕的完整系统操作面板</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3.21寸红外触摸屏 触摸点与实际显示点的偏差不超过±2.3mm</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★4.I5或以上双核CPU、8G、160G以上硬盘</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★5.平台开机响应低于15s，按键响应时间小于6ms</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6.平台配有输入设备，以及USB端口</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7.机体金属材质，白色外观</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8.钣金尺寸≦700*550*870mm</w:t>
            </w:r>
            <w:r/>
          </w:p>
          <w:p>
            <w:pPr>
              <w:jc w:val="left"/>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9.整机重量≦55kg</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2.数控综合实训考核平台考核功能要求</w:t>
      </w:r>
      <w:r/>
    </w:p>
    <w:tbl>
      <w:tblPr>
        <w:tblStyle w:val="686"/>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3348"/>
        <w:gridCol w:w="5087"/>
      </w:tblGrid>
      <w:tr>
        <w:trPr>
          <w:jc w:val="center"/>
          <w:trHeight w:val="512"/>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4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总体要求</w:t>
            </w:r>
            <w:r/>
          </w:p>
        </w:tc>
        <w:tc>
          <w:tcPr>
            <w:tcBorders>
              <w:top w:val="single" w:color="auto" w:sz="4" w:space="0"/>
              <w:left w:val="single" w:color="auto" w:sz="4" w:space="0"/>
              <w:bottom w:val="single" w:color="auto" w:sz="4" w:space="0"/>
              <w:right w:val="single" w:color="auto" w:sz="4" w:space="0"/>
            </w:tcBorders>
            <w:tcW w:w="5087"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项目具体要求</w:t>
            </w:r>
            <w:r/>
          </w:p>
        </w:tc>
      </w:tr>
      <w:tr>
        <w:trPr>
          <w:jc w:val="center"/>
          <w:trHeight w:val="542"/>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48"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★能够对学生考核过程中所有的操作过程自动记录并作出判断。包括开机启动、机床报警复位、回参考点、安装毛坯和刀具、输入程序、对刀过程、测量、刀具补偿、调头装夹、卸载工件和刀具、关机操作等。</w:t>
            </w:r>
            <w:r/>
          </w:p>
        </w:tc>
        <w:tc>
          <w:tcPr>
            <w:tcBorders>
              <w:top w:val="single" w:color="auto" w:sz="4" w:space="0"/>
              <w:left w:val="single" w:color="auto" w:sz="4" w:space="0"/>
              <w:right w:val="single" w:color="auto" w:sz="4" w:space="0"/>
            </w:tcBorders>
            <w:tcW w:w="508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支持考生信息导入模式，实现对考生信息的自动化管理。</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支持导入和设定评分标准，实现对学生操作步骤和工件质量的自动评分和分析。</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支持理论题库的导入与修改，并在考核过程中从题库中随机抽取试题。</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支持对所有考生成绩的自动输出和分析。</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自动判断所选刀具、工件是否正确。</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自动判断工件装夹是否正确 。</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根据输入的程序自动判断加工参数是否正确。</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根据加工步骤自动判断加工工艺是否正确。</w:t>
            </w:r>
            <w:r/>
          </w:p>
          <w:p>
            <w:pP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根据考核过程中考生的综合操作进行评分。</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3.数控综合实训考核平台实验室建设要求</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电气与网络系统改造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建立一套安全、稳定、整洁、易于维护的供电与网络系统，满足未来设备升级和扩容的需求。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分层布线：地板下空间采用网格桥架，将强电（电源线）与弱电（网线）严格分离，防止电磁干扰。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高密度端口：在每台设备附近或工位旁，预留足够的电源插座和网络信息点。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（2）防静电架空地板铺设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地板选型：采用 HPL（高压三聚氰胺贴面）防静电地板，规格为 600mm*600mm。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支架高度：考虑到线缆数量和人员可能需要进入地板下检修，建议支架高度不低于 300mm，推荐 350mm-400mm。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防静电系统：地板、支架、横梁均需具备良好的导电性，并与建筑接地系统可靠连接。</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（3）数控综合实训文化建设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主题墙：在实验室入口或主墙面，打造一面 “数控技术主题墙”，内容可包括：</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专业发展历程时间轴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关键技术与核心设备介绍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文化展板：沿墙设置 2-4 块展板，内容可轮换：</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安全规范：数控设备安全操作规程、实验室管理制度。</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工匠精神：介绍行业内的技能大师或领军人物的事迹。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前沿技术：展示智能制造、工业 4.0 等相关领域的最新动态。</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（二）增材制造H2D带AMS设备，1台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1.成型技术：熔融沉积成型</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2.打印尺寸：</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单喷嘴模式：≤325*320*325mm³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双喷嘴交集：≤300*320*325mm³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双喷嘴并集：≤350*320*325mm³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3.单机机身尺寸：≤492*514*626mm³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4.产品净重：≤31kg</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5.外壳框架：机壳为铝材和钢材构成，外壳为塑料和玻璃构成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6.挤出机类型：双挤出轮近程挤出机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7.挤出机齿轮类型：高强度硬化钢斜齿设计齿轮组，啮合传动过程平稳、寿命更长，适配多种耗材如TPU/PC等耗材，满足各场景打印需要</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8.工具头：全金属热端，硬化钢喷嘴，内置工具头切刀</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9.可打印耗材直径：≤1.75mm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10.喷嘴直径：标配0.4mm口径硬化钢喷嘴；可拓展0.2mm、0.6mm、0.8mm直径喷嘴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11.工具头最大移动速度：≤1000mm/s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12.工具头最大加速度：≤20000m/s²</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13.热端最大流量：≤65mm³/s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14.喷嘴温度：≤350℃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15.热床温度：≤120℃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16.主动腔温控制:支持</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17.最高可控腔温:：≤65℃</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18.打印平台：标配PEI纹理打印面板，可扩展光面PEI打印面板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19.调平方式：全自动调平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20.打印方式：U盘/无线网络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21.联网方式：无线网络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22.WIFI协议：IEEE802.11a/b/g/n</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23.显示屏：≤5英寸，分辨率≤1280*720，触摸屏</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24.照明灯：支持，通过打印机屏幕控制开关，且可在APP端及PC端远程开关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25.存储：内置8GBEMMC和USB端口</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26.监控摄像头：机箱内置摄像头，分辨率≤1920×1080，具备实时视频流、延时摄影、实时监控打印过程功能。能实时监控打印质量，打印炒面检出，检测打印异常及时暂停打印并自动提醒。</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27.喷嘴摄像头：配备带微距镜头的AI喷嘴摄像头。智能监控系统持续跟踪挤出状态，即时检测耗材堆积、耗材挤出偏差和挤出故障。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28.灵玑挤出机系统：</w:t>
      </w:r>
      <w:r>
        <w:rPr>
          <w:rFonts w:hint="eastAsia" w:ascii="宋体" w:hAnsi="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PMSM伺服电机实现挤出系统的智能管控，执行20kHz的电流与位置信号采样，用以动态调节挤出扭矩。稳定挤出的同时，检测耗材磨料和堵塞。</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29.皮带自动张紧系统：皮带张紧结构会自动检测机器张力。如果需要调节,无需频繁试错，自动张力调节系统可以让皮带张力迅速恢复到最佳状态</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30.断电续打：断电自动保存数据，支持来电恢复打印，避免因外界因素导致的时间、耗材浪费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31.冷却系统：内置部件冷却风扇、热端风扇、主板风扇、腔体外排风扇、腔体加热循环风扇、辅助部件冷却风扇，通过闭环控制来确保打印模型、打印机箱、电源板和主板的散热</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32.主动流量补偿：利用挤出机上伺服电机的传感能力和喷嘴上的高分辨率涡流传感器，可通过测量喷嘴压力和校准每条耗材的PA参数来精确控制挤出，从而提高表面平滑度和棱角锐利度。</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33.断料检测：挤出机具备断料检测传感器，能够实时检测到材料用尽并暂停打印，支持断料续打</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34.空气净化：高性能滤芯由G3初效过滤器、H12HEPA滤芯和高性能椰壳活性炭滤芯复合而成。复合滤芯能够有效过滤打印过程中产生的颗粒物及气味，显著提升在密闭空间中的使用体验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35.振纹优化：支持自研算法VFA（VerticalFinedArtifacts）振纹优化，降低了打印长直线时电机发出的噪音，并减轻了高速打印时的嗡嗡声。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36.支持耗材：PLA，PETG，TPU，PVA，BVOH，ABS，ASA，PC，PA，PET，PPA-CF，PPA-GF，PPS-CF，PPS-GF</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37.打印文件格式：Gcode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38.切片支持格式：3mf、stl、stp、step、amf、obj格式</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39.2.0健康管理系统：负责收集和监控整个系统状态，包括：硬件连接、工作状态机械状态，以及打印过程中AI功能检测到的问题（例如炒面缺陷），系统一单检测异常，会通过APP、软件以及打印机屏幕上发送消息提醒用户，每个错误代码都有详细描述和对应的解决方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视觉编码系统：超高精度视觉编码板（选购），结合5µm分辨率光学测量对工具头运动情况进行校准，使能够在整个工作空间内实现一致、可靠的、与运动距离无关的50µm运动精度，精度比前代产品提升一个数量级。</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41.自动轴孔补偿：得益于增强的运动精度和</w:t>
      </w:r>
      <w:r>
        <w:rPr>
          <w:rFonts w:hint="eastAsia" w:ascii="宋体" w:hAnsi="宋体" w:cs="宋体"/>
          <w:color w:val="auto"/>
          <w:sz w:val="21"/>
          <w:szCs w:val="21"/>
          <w:highlight w:val="none"/>
          <w:lang w:val="en-US" w:eastAsia="zh-CN"/>
        </w:rPr>
        <w:t xml:space="preserve">自研软件</w:t>
      </w:r>
      <w:r>
        <w:rPr>
          <w:rFonts w:hint="eastAsia" w:ascii="宋体" w:hAnsi="宋体" w:eastAsia="宋体" w:cs="宋体"/>
          <w:color w:val="auto"/>
          <w:sz w:val="21"/>
          <w:szCs w:val="21"/>
          <w:highlight w:val="none"/>
        </w:rPr>
        <w:t xml:space="preserve">针对特定官方耗材的专门校准，无需繁琐地调整装配间隙，即可次次实现与钢轴等标准件的完美装配。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42.自动供料系统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a.支持多色打印，至多可串联4台AMS和8台AMSHT</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b.具备耗材烘干功能，烘干最高温度：≤65℃</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c.配有湿度传感器和密封外壳，配合干燥剂使用可以保证耗材干燥，并显示内部的湿度状态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d.通过进料缓冲器智能调节送料速度，确保送料和挤出机出料节奏保持同步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e.内置里程轮，可以统计从送出的耗材的长度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f.拥有RFID自动识别自动续料功能，无需手动设置即可实现自动识别耗材颜色类型，同类同型耗材自动识别续料，同时实现耗材余量预估功能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g.支持第三方耗材手动设置自动续料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h.自适应风门：自动排气有利烘干过程中的除湿和气密密封。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i.自旋转均匀：烘干烘干过程中，料盘会自动进行转动，让烘干效果更均匀。</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j.陶瓷进料口：维氏硬度达到1200的陶瓷材质进料口，显著提升耐用度。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43.需配套3D打印切片软件，全中文界面，切片、控制打印、操作一体。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a.操作界面为视窗式界面，载入模型数据后可直观的观看模型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b.具有一键自动打印布局功能，具有旋转、移动、缩放模型功能，缩放功能支持三轴一起整体缩放，也支持单轴(XYZ中任一轴)的局部缩放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c.可对模型进行错误自动修复，对两个以上的模型进行合并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d.具有打印预览功能，载入模型后一键显示模型打印时间及消耗材料重量，预览可看每一层面的成型、支撑结构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e.具有一键调整工作台与喷嘴高度(即对高)功能，具备一键调整工作台相对喷头的水平(即调平)功能；具有模型打印自动生成支撑结构功能，并可手动增减支撑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f.具有动态层厚打印功能，对同一个模型不同部位使用不同的层厚进行打印，多个模型同时打印时可对各模型独立进行打印参数设置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g.具有局部填充密度功能，可以根据模型受力不同，在不同区域选择不同的填充密度,提高打印模型综合性能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h.具有自动或手动裁切处理功能，手动裁切方式可通过鼠标实现裁切位置的选择</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45.3D打印设备生产厂家为国家高新技术企业并且通过ISO9001:2016/ISO14001:2015认证。</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46.</w:t>
      </w:r>
      <w:r>
        <w:rPr>
          <w:rFonts w:hint="eastAsia" w:ascii="宋体" w:hAnsi="宋体" w:eastAsia="宋体" w:cs="宋体"/>
          <w:color w:val="auto"/>
          <w:sz w:val="21"/>
          <w:szCs w:val="21"/>
          <w:highlight w:val="none"/>
          <w:lang w:bidi="ar"/>
        </w:rPr>
        <w:t xml:space="preserve">素材支持：配备一个3d素材库，素材库数量不低于1.5万个，涵盖不少于10种类别，素材拥有20个以上特色专题。素材库包含网站及APP，APP同步支持安卓及IOS下载。</w:t>
      </w:r>
      <w:r>
        <w:rPr>
          <w:rFonts w:hint="eastAsia" w:ascii="宋体" w:hAnsi="宋体" w:eastAsia="宋体" w:cs="宋体"/>
          <w:b/>
          <w:bCs/>
          <w:color w:val="auto"/>
          <w:sz w:val="21"/>
          <w:szCs w:val="21"/>
          <w:highlight w:val="none"/>
          <w:lang w:bidi="ar"/>
        </w:rPr>
        <w:t xml:space="preserve">（提供3D素材库集群数字孪生平台系统截图并加盖供应商公章。）</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配套同品牌云端三维渲染引擎平台，对扫描的3D数据在云端进行轻量化（轻量最高可达91%）、云渲染及三维分享，开放标准的SDK，不需要安装任何客户端，兼容Windows、MacOS、iOS、Android、Linux等系统，以及Chrome/Safari/Firefox /Edge/IE/QQ等浏览器。支持多种材质系统和多属性材质，以及各种类型光源与开合动画系统，引擎适配VRPN协议，驱动VR/AR硬件； 支持HTML5 WebGL平台，实现对产品的快速三维渲染和展示。（提供彩页加盖供应商公章）</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（三）增材制造X1带AMS设备，3台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1.成型技术：熔融沉积成型（FDM）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2.打印尺寸：≤256*256*256mm³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3.单机机身尺寸：≤389*389*457mm³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4.产品净重：≤14.13kg</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5.外壳框架：钢材框架，外壳为铝材和玻璃构成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6.工具头：全金属热端，硬化钢喷嘴，硬化钢挤出机齿轮，内置工具头切刀</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7.喷嘴直径：标配0.4mm口径硬化钢喷嘴；可拓展0.2mm、0.6mm、0.8mm直径喷嘴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8.适配4种不同口径喷嘴预设涵盖打印层厚：0.06-0.56mm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9.喷嘴温度：≤300℃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10.热床温度：≤110℃@220V,≤120℃@110V</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11.工具头最大移动速度：≤500mm/s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12.工具头最大移动加速度：≤20m/s²</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13.热端最大流速：≤32mm³/s（ABS材料）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14.可打印耗材直径：≤1.75mm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15.支持耗材：PLA，PETG，TPU，ABS，ASA，PVA，PET，PA，PC，碳/玻璃纤维增强线材；自制Support系列支撑隔离材料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16.高速打印功能：依靠XY轴的震动抑制算法和精准的流量控制实现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17.打印平台：自带低温打印面板，工程材料打印面板，可扩展高温打印面板和PEI纹理打印面板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18.冷却系统：内置冷却风扇系统，通过闭环控制来确保打印模型、打印机箱和主板的散热</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19.具备多种传感器：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a.工具头配有微激光雷达，实现微米级测量；可实现打印首层扫描、挤出流量校准、辅助热床自动调平等功能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b.机箱内置摄像头，分辨率≤1920×1080，可用于实时远程观看打印视频、延时摄影、打印录像、炒面检测等功能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c.开门检测传感器，智能开门检测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d.挤出机断料检测传感器，能够检测到材料用尽并暂停打印，支持断料续打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e.温度传感器：机箱内部配有温度传感器，来展示当前箱内的温度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f.支持断电续打</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20.显示屏：≤5英寸，分辨率≤1280×720，触摸屏</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21.通讯方式：支持Wi-Fi和Bambu-Bus通信（用于打印机和通信），支持触摸屏、手机端APP、电脑端应用三种操作界面；可以通过APP和电脑端应用远程操控打印机和观看打印机视频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健康管理系统：负责收集和监控整个系统状态，包括：硬件连接、工作状态机械状态，以及打印过程中AI功能检测到的问题（例如炒面缺陷），系统一单检测异常，会通过APP、软件以及打印机屏幕上发送消息提醒用户，每个错误代码都有详细描述和对应的解决方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23.自动供料系统可支持多色模型打印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a.具备两级助力，确保能够顺利将耗材丝送入挤出机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b.配有湿度传感器和密封外壳，配合干燥剂使用可以保证耗材干燥，并显示内部的湿度状态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c.通过进料缓冲器智能调节送料速度，确保送料和挤出机出料节奏保持同步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d.4*4级联，最多支持4台一起使用，可以实现16色打印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e.内置里程轮，可以统计送出的耗材的长度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f.拥有RFID自动识别自动续料功能，无需手动设置即可实现自动识别耗材颜色类型，同类同型耗材自动识别续料，同时实现耗材余量预估功能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g.支持第三方耗材手动设置自动续料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24.需配套3D打印切片软件，全中文界面，切片、控制打印、操作一体。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a.操作界面为视窗式界面，载入模型数据后可直观的观看模型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b.具有一键自动打印布局功能，具有旋转、移动、缩放模型功能，缩放功能支持三轴一起整体缩放，也支持单轴(XYZ中任一轴)的局部缩放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c.可对模型进行错误自动修复，对两个以上的模型进行合并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d.具有打印预览功能，载入模型后一键显示模型打印时间及消耗材料重量，预览可看每一层面的成型、支撑结构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e.具有一键调整工作台与喷嘴高度(即对高)功能，具备一键调整工作台相对喷头的水平(即调平)功能；具有模型打印自动生成支撑结构功能，并可手动增减支撑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f.具有动态层厚打印功能，对同一个模型不同部位使用不同的层厚进行打印，多个模型同时打印时可对各模型独立进行打印参数设置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g.具有局部填充密度功能，可以根据模型受力不同，在不同区域选择不同的填充密度,提高打印模型综合性能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h.具有自动或手动裁切处理功能，手动裁切方式可通过鼠标实现裁切位置的选择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26.3D打印设备生产厂家为国家高新技术企业并且通过ISO9001:2016/ISO14001:2015认证。</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（四）增材制造P1带AMS设备，4台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1.成型技术：熔融沉积成型</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2.打印尺寸：≤256*256*256mm³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3.单机机身尺寸：≤386*389*458mm³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4.产品净重：≤12.95kg</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5.外壳框架：钢材框架，外壳为塑料和玻璃构成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6.工具头：全金属热端、钢材挤出机齿轮、不锈钢喷嘴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7.喷嘴最高温度：≤300℃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8.喷嘴直径：标配0.4mm口径不锈钢喷嘴；可拓展0.2mm、0.6mm、0.8mm直径喷嘴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9.热床最高温度：≤100℃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10.工具头最大移动速度：≤500mm/s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11.工具头最大移动加速度：≤20m/s²</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12.热端最大流速：≤32mm³/s（150*150mm单层外壁ABS材料，温度280℃测试）</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13.打印平台：标配双面纹理PEI打印面板，可选低温打印面板、高温打印面板、工程材料打印面板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14.高速打印功能：依靠XY轴的震动抑制算法和精准的流量控制</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15.支持耗材类型：可支持打印PLA、PETG、TPU、ASA、PVA、PET、尼龙线材（PA)、聚碳酸酯线材（PC)、ABS材料、自制Support系列支撑隔离材料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16.冷却系统：内置冷却风扇系统，通过闭环控制来确保打印模型、打印机箱和主板的散热</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17.传感器：内置低帧率相机，分辨率≤1280x720/0.5fps，支持延时摄影，支持挤出机断料检测，支持断电续打</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18.显示屏：≤2.7英寸，分辨率≤192x64</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19.联网方式：支持Wi-Fi、Bluetooth通信，操作界面支持按键、手机端APP、电脑端应用三种形式；以通过APP和电脑端应用远程操控打印机和观看打印机视频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健康管理系统：负责收集和监控整个系统状态，包括：硬件连接、工作状态机械状态，以及打印过程中AI功能检测到的问题（例如炒面缺陷），一旦出现任何异常，会通过APP、软件以及打印机屏幕上发送消息提醒用户，每个错误代码都有详细描述和对应的解决方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21.自动供料系统可支持多色模型打印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a.具备两级助力，确保能够顺利将耗材丝送入挤出机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b.配有湿度传感器和密封外壳，配合干燥剂使用可以保证耗材干燥，并显示内部的湿度状态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c.通过进料缓冲器智能调节送料速度，确保送料和挤出机出料节奏保持同步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d.4*4级联，最多支持4台一起使用，可以实现16色打印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e.内置里程轮，可以统计送出的耗材的长度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f.拥有RFID自动识别自动续料功能，无需手动设置即可实现自动识别耗材颜色类型，同类同型耗材自动识别续料，同时实现耗材余量预估功能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g.支持第三方耗材手动设置自动续料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22.配套3D打印切片软件，全中文界面，切片、控制打印、操作一体。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a.操作界面为视窗式界面，载入模型数据后可直观的观看模型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b.具有一键自动打印布局功能，具有旋转、移动、缩放模型功能，缩放功能支持三轴一起整体缩放，也支持单轴(XYZ中任一轴)的局部缩放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c.可对模型进行错误自动修复，对两个以上的模型进行合并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d.具有打印预览功能，载入模型后一键显示模型打印时间及消耗材料重量，预览可看每一层面的成型、支撑结构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e.具有一键调整工作台与喷嘴高度(即对高)功能，具备一键调整工作台相对喷头的水平(即调平)功能；具有模型打印自动生成支撑结构功能，并可手动增减支撑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f.具有动态层厚打印功能，对同一个模型不同部位使用不同的层厚进行打印，多个模型同时打印时可对各模型独立进行打印参数设置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g.具有局部填充密度功能，可以根据模型受力不同，在不同区域选择不同的填充密度,提高打印模型综合性能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h.具有自动或手动裁切处理功能，手动裁切方式可通过鼠标实现裁切位置的选择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24.3D打印设备生产厂家为国家高新技术企业并且通过ISO9001:2016/ISO14001:2015认证。</w:t>
      </w:r>
      <w:r/>
    </w:p>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（五）在机检测系统及配套软件，1套</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1.触发式工件检测测头，采用光学信号传输，在机床上用于工件的找正和工件的检测，完成在线检测。</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2.传输角度：150°-环形360°</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3.重量（不计算刀柄）：300g</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4.材质：不锈钢</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5.重复定位精度：1μm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6.传输距离：1.5-5米，三段可调</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7.红宝石测头直径：φ3mm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8.测头长度70mm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9.推荐测量速度：50.0mm/min-2000.0mm/min</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10.触测方向±X，±Y,-Z</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11.最大过程XY±12.5°，Z-5.0mm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12.触发力：XY方向0.8N,Z方向6.0N</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13.带主轴保护</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14.连续测量300万点</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15.全自动的开启测头模式</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16.在线接收器：</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17.传输角度：120°</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18.材质：合金铝+POM</w:t>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要求进行数据采集、运算、反馈等功能，能够在线实现采集结果与理论值比对，智能判断正确性并根据要求实现自动程序命令补偿磨耗值，能自动或手工设定采集频率，以确保正常切削状态下产品的合格率，实现质量自动化智能管控。</w:t>
      </w:r>
      <w:r>
        <w:rPr>
          <w:rFonts w:hint="eastAsia" w:ascii="宋体" w:hAnsi="宋体" w:eastAsia="宋体" w:cs="宋体"/>
          <w:b/>
          <w:bCs/>
          <w:color w:val="auto"/>
          <w:sz w:val="21"/>
          <w:szCs w:val="21"/>
          <w:highlight w:val="none"/>
          <w:lang w:val="en-US" w:eastAsia="zh-CN" w:bidi="ar-SA"/>
        </w:rPr>
        <w:t xml:space="preserve">（响应文件中需将在机检测系统使用流程完整描述出来，提供不全或者不提供视为不响应）。</w:t>
      </w:r>
      <w:r/>
      <w:r>
        <w:rPr>
          <w:rFonts w:hint="eastAsia" w:ascii="宋体" w:hAnsi="宋体" w:eastAsia="宋体" w:cs="宋体"/>
          <w:b/>
          <w:bCs/>
          <w:color w:val="auto"/>
          <w:sz w:val="21"/>
          <w:szCs w:val="21"/>
          <w:highlight w:val="none"/>
          <w:lang w:val="en-US" w:eastAsia="zh-CN" w:bidi="ar-SA"/>
        </w:rPr>
      </w:r>
      <w:r/>
      <w:r>
        <w:rPr>
          <w:rFonts w:hint="eastAsia" w:ascii="宋体" w:hAnsi="宋体" w:eastAsia="宋体" w:cs="宋体"/>
          <w:b/>
          <w:bCs/>
          <w:color w:val="auto"/>
          <w:sz w:val="21"/>
          <w:szCs w:val="21"/>
          <w:highlight w:val="none"/>
          <w:lang w:val="en-US" w:eastAsia="zh-CN" w:bidi="ar-SA"/>
        </w:rP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数控设备维修数维与智能化改造接线柜，4套</w:t>
      </w:r>
      <w:r/>
    </w:p>
    <w:p>
      <w:pPr>
        <w:ind w:left="0" w:firstLine="420"/>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设备需满足江苏省高职数维比赛和联院数维选拔赛的要求，跟现有数维设备完成整机联调，使设备正常运行。</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尺寸：740×900×1530mm</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重量：约80KG</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材质：钣金</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相关电器元器件</w:t>
      </w:r>
      <w:r/>
    </w:p>
    <w:tbl>
      <w:tblPr>
        <w:tblStyle w:val="686"/>
        <w:tblpPr w:horzAnchor="page" w:tblpXSpec="center" w:vertAnchor="text" w:tblpY="309" w:leftFromText="180" w:topFromText="0" w:rightFromText="180" w:bottomFromText="0"/>
        <w:tblW w:w="8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2844"/>
        <w:gridCol w:w="1247"/>
        <w:gridCol w:w="1699"/>
      </w:tblGrid>
      <w:tr>
        <w:trPr>
          <w:jc w:val="center"/>
          <w:trHeight w:val="454"/>
        </w:trPr>
        <w:tc>
          <w:tcPr>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规格型号</w:t>
            </w:r>
            <w:r/>
          </w:p>
        </w:tc>
        <w:tc>
          <w:tcPr>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三菱变频器</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FR-D740-0.75K</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钮子开关</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SMTS-102小</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按钮开关</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LAS23A/220VAC</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端子</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SAK2.5ENSAKDU2.5</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64</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端子</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SAKPE4</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号码牌</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DEK5/5.5</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140</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短路棒</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SAKQ2.5/10</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AS-28K-7Z</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AS-28J-7TB</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AS-28K-12Z</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66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AS-28J-12TB</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AS-28K-26Z</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AS-28J-26TB</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电缆接头（防水）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M48（PG36）</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网板</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DS-YDDG-0037</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开放式电柜整套钣金1</w:t>
            </w:r>
            <w:r/>
          </w:p>
        </w:tc>
        <w:tc>
          <w:tcPr>
            <w:shd w:val="clear" w:color="auto" w:fill="ffffff"/>
            <w:tcW w:w="2955" w:type="dxa"/>
            <w:vAlign w:val="center"/>
            <w:textDirection w:val="lrTb"/>
            <w:noWrap/>
          </w:tcPr>
          <w:p>
            <w:pPr>
              <w:jc w:val="center"/>
              <w:keepLines w:val="0"/>
              <w:keepNext w:val="0"/>
              <w:pageBreakBefore w:val="0"/>
              <w:spacing w:line="2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三相异步主电机</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Ys6314（120W）</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511"/>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大赛开关安装板</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大赛用</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件</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bl>
    <w:p>
      <w:pPr>
        <w:keepLines w:val="0"/>
        <w:keepNext w:val="0"/>
        <w:pageBreakBefore w:val="0"/>
        <w:spacing w:line="220"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numPr>
          <w:ilvl w:val="0"/>
          <w:numId w:val="0"/>
        </w:numPr>
        <w:ind w:firstLine="422"/>
        <w:keepLines w:val="0"/>
        <w:keepNext w:val="0"/>
        <w:pageBreakBefore w:val="0"/>
        <w:spacing w:line="360" w:lineRule="auto"/>
        <w:widowControl w:val="off"/>
        <w:rPr>
          <w:rFonts w:hint="eastAsia" w:ascii="Times New Roman" w:hAnsi="Times New Roman" w:eastAsia="宋体" w:cs="Times New Roman"/>
          <w:b/>
          <w:bCs/>
          <w:color w:val="auto"/>
          <w:szCs w:val="21"/>
          <w:highlight w:val="none"/>
          <w:lang w:eastAsia="zh-CN"/>
        </w:rPr>
      </w:pPr>
      <w:r>
        <w:rPr>
          <w:rFonts w:hint="eastAsia" w:ascii="宋体" w:hAnsi="宋体"/>
          <w:b/>
          <w:bCs/>
          <w:color w:val="auto"/>
          <w:szCs w:val="21"/>
          <w:highlight w:val="none"/>
        </w:rPr>
        <w:t xml:space="preserve">供应商须承诺在成交后签订合同前，采购方有权要求成交人提供采购文件的软件性能参数指标进行测试，测试费用由成交人支付。不能提供或不能通过技术测试或测试结果与响应文件不符的视为虚假承诺，并报政府采购监督管理部门进行处理，导致整批货物被拒收和索赔，由此引发的所有损失由供应商负责。</w:t>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eastAsia="zh-CN"/>
        </w:rPr>
        <w:t xml:space="preserve">（</w:t>
      </w:r>
      <w:r>
        <w:rPr>
          <w:rFonts w:hint="eastAsia" w:cs="Times New Roman"/>
          <w:b/>
          <w:bCs/>
          <w:color w:val="auto"/>
          <w:szCs w:val="21"/>
          <w:highlight w:val="none"/>
          <w:lang w:val="en-US" w:eastAsia="zh-CN"/>
        </w:rPr>
        <w:t xml:space="preserve">七</w:t>
      </w:r>
      <w:r>
        <w:rPr>
          <w:rFonts w:hint="eastAsia" w:ascii="Times New Roman" w:hAnsi="Times New Roman" w:eastAsia="宋体" w:cs="Times New Roman"/>
          <w:b/>
          <w:bCs/>
          <w:color w:val="auto"/>
          <w:szCs w:val="21"/>
          <w:highlight w:val="none"/>
          <w:lang w:eastAsia="zh-CN"/>
        </w:rPr>
        <w:t xml:space="preserve">）</w:t>
      </w:r>
      <w:r>
        <w:rPr>
          <w:rFonts w:hint="eastAsia" w:ascii="Times New Roman" w:hAnsi="Times New Roman" w:eastAsia="宋体" w:cs="Times New Roman"/>
          <w:b/>
          <w:bCs/>
          <w:color w:val="auto"/>
          <w:szCs w:val="21"/>
          <w:highlight w:val="none"/>
        </w:rPr>
        <w:t xml:space="preserve">其他综合说明：</w:t>
      </w:r>
      <w:r/>
    </w:p>
    <w:p>
      <w:pPr>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color w:val="auto"/>
          <w:szCs w:val="21"/>
          <w:highlight w:val="none"/>
        </w:rPr>
        <w:t xml:space="preserve">投标单位必须全部满足以上参数</w:t>
      </w:r>
      <w:r>
        <w:rPr>
          <w:rFonts w:hint="eastAsia" w:ascii="宋体" w:hAnsi="宋体" w:cs="宋体"/>
          <w:color w:val="auto"/>
          <w:szCs w:val="21"/>
          <w:highlight w:val="none"/>
          <w:lang w:val="en-US" w:eastAsia="zh-CN"/>
        </w:rPr>
        <w:t xml:space="preserve">指标</w:t>
      </w:r>
      <w:r>
        <w:rPr>
          <w:rFonts w:hint="eastAsia" w:ascii="宋体" w:hAnsi="宋体" w:eastAsia="宋体" w:cs="宋体"/>
          <w:color w:val="auto"/>
          <w:szCs w:val="21"/>
          <w:highlight w:val="none"/>
        </w:rPr>
        <w:t xml:space="preserve">要求，</w:t>
      </w:r>
      <w:r>
        <w:rPr>
          <w:rFonts w:hint="eastAsia" w:ascii="宋体" w:hAnsi="宋体" w:cs="宋体"/>
          <w:color w:val="auto"/>
          <w:szCs w:val="21"/>
          <w:highlight w:val="none"/>
          <w:lang w:val="en-US" w:eastAsia="zh-CN"/>
        </w:rPr>
        <w:t xml:space="preserve">否</w:t>
      </w:r>
      <w:r>
        <w:rPr>
          <w:rFonts w:hint="eastAsia" w:ascii="宋体" w:hAnsi="宋体" w:eastAsia="宋体" w:cs="宋体"/>
          <w:color w:val="auto"/>
          <w:szCs w:val="21"/>
          <w:highlight w:val="none"/>
        </w:rPr>
        <w:t xml:space="preserve">则按无效标书处理。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.投标单位必须承诺谈判文件中提出的全部技术要求，如果以其中某些条款不响应时，应在文件中逐条列出，未列出的视同响应。</w:t>
      </w:r>
      <w:r/>
    </w:p>
    <w:p>
      <w:pPr>
        <w:keepLines w:val="0"/>
        <w:keepNext w:val="0"/>
        <w:pageBreakBefore w:val="0"/>
        <w:spacing w:line="360" w:lineRule="auto"/>
        <w:rPr>
          <w:rFonts w:hint="default" w:eastAsia="宋体"/>
          <w:color w:val="auto"/>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Times New Roman" w:hAnsi="Times New Roman" w:eastAsia="宋体" w:cs="Times New Roman"/>
          <w:b/>
          <w:bCs/>
          <w:color w:val="auto"/>
          <w:highlight w:val="none"/>
        </w:rPr>
        <w:t xml:space="preserve">提供同品牌同型号的核心产品且通过资格审查、符合性审查的不同供应商参加同一合同项下竞争性谈判的，按一家供应商计算，评审后价格最低的同品牌同型号供应商获得成交人推荐资格。</w:t>
      </w:r>
      <w:r/>
    </w:p>
    <w:p>
      <w:pPr>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投标单位的报价以全部服务总价一次报定，即包括直至完成本项目全部服务内容的所有人力费用、物力费用、验收费及保险、劳保、专利技术、技术支持与人员培训等工作所发生的全部费用以及投标人企业利润、税金和政策性文件规定等一切费用，本项目为交钥匙工程，所报总价包括完成本项目全部内容。</w:t>
      </w:r>
      <w:r/>
    </w:p>
    <w:p>
      <w:pPr>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凡涉及谈判文件的补充说明和修改，均以苏州市政府采购网通知为准。</w:t>
      </w:r>
      <w:r/>
    </w:p>
    <w:p>
      <w:pPr>
        <w:keepLines w:val="0"/>
        <w:keepNext w:val="0"/>
        <w:pageBreakBefore w:val="0"/>
        <w:spacing w:line="360" w:lineRule="auto"/>
        <w:rPr>
          <w:rStyle w:val="995"/>
          <w:rFonts w:hint="eastAsia"/>
          <w:b/>
          <w:bCs/>
          <w:color w:val="auto"/>
          <w:sz w:val="32"/>
          <w:szCs w:val="32"/>
          <w:highlight w:val="none"/>
        </w:rPr>
      </w:pPr>
      <w:r>
        <w:rPr>
          <w:rStyle w:val="995"/>
          <w:rFonts w:hint="eastAsia"/>
          <w:b/>
          <w:bCs/>
          <w:color w:val="auto"/>
          <w:sz w:val="32"/>
          <w:szCs w:val="32"/>
          <w:highlight w:val="none"/>
        </w:rPr>
        <w:br w:type="page" w:clear="all"/>
      </w:r>
      <w:r/>
    </w:p>
    <w:p>
      <w:pPr>
        <w:pStyle w:val="676"/>
        <w:jc w:val="center"/>
        <w:spacing w:line="240" w:lineRule="auto"/>
        <w:rPr>
          <w:rStyle w:val="995"/>
          <w:b/>
          <w:bCs/>
          <w:color w:val="auto"/>
          <w:sz w:val="32"/>
          <w:szCs w:val="32"/>
          <w:highlight w:val="none"/>
        </w:rPr>
      </w:pPr>
      <w:r>
        <w:rPr>
          <w:rStyle w:val="995"/>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  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06"/>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06"/>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06"/>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06"/>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995"/>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995"/>
          <w:b w:val="0"/>
          <w:bCs w:val="0"/>
          <w:color w:val="auto"/>
          <w:sz w:val="32"/>
          <w:szCs w:val="32"/>
          <w:highlight w:val="none"/>
        </w:rPr>
        <w:br w:type="page" w:clear="all"/>
      </w:r>
      <w:bookmarkEnd w:id="12"/>
      <w:r/>
      <w:bookmarkEnd w:id="13"/>
      <w:r/>
      <w:r/>
    </w:p>
    <w:p>
      <w:pPr>
        <w:pStyle w:val="676"/>
        <w:jc w:val="center"/>
        <w:spacing w:line="240" w:lineRule="auto"/>
        <w:rPr>
          <w:rStyle w:val="995"/>
          <w:b/>
          <w:bCs/>
          <w:color w:val="auto"/>
          <w:sz w:val="32"/>
          <w:szCs w:val="32"/>
          <w:highlight w:val="none"/>
        </w:rPr>
      </w:pPr>
      <w:r/>
      <w:bookmarkStart w:id="14" w:name="_Toc166488922"/>
      <w:r>
        <w:rPr>
          <w:rStyle w:val="995"/>
          <w:rFonts w:hint="eastAsia"/>
          <w:b/>
          <w:bCs/>
          <w:color w:val="auto"/>
          <w:sz w:val="32"/>
          <w:szCs w:val="32"/>
          <w:highlight w:val="none"/>
        </w:rPr>
        <w:t xml:space="preserve">第五章 合同条款</w:t>
      </w:r>
      <w:bookmarkEnd w:id="14"/>
      <w:r/>
      <w:r/>
    </w:p>
    <w:p>
      <w:pPr>
        <w:spacing w:line="360" w:lineRule="auto"/>
        <w:rPr>
          <w:rFonts w:hint="default" w:ascii="宋体" w:hAnsi="宋体" w:eastAsia="宋体" w:cs="宋体"/>
          <w:color w:val="auto"/>
          <w:szCs w:val="21"/>
          <w:highlight w:val="none"/>
        </w:rPr>
      </w:pPr>
      <w:r/>
      <w:bookmarkStart w:id="15" w:name="_Toc166488923"/>
      <w:r>
        <w:rPr>
          <w:rFonts w:hint="eastAsia" w:ascii="宋体" w:hAnsi="宋体" w:eastAsia="宋体" w:cs="宋体"/>
          <w:color w:val="auto"/>
          <w:szCs w:val="21"/>
          <w:highlight w:val="none"/>
        </w:rPr>
        <w:t xml:space="preserve">甲方（采购组织方）：昆山市教育装备与勤工俭学管理中心</w:t>
      </w:r>
      <w:r/>
    </w:p>
    <w:p>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地址：娄苑路171号</w:t>
      </w:r>
      <w:r/>
    </w:p>
    <w:p>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电话：0512-36839612</w:t>
      </w:r>
      <w:r/>
    </w:p>
    <w:p>
      <w:pPr>
        <w:spacing w:line="360" w:lineRule="auto"/>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传真：</w:t>
      </w:r>
      <w:r/>
    </w:p>
    <w:p>
      <w:pPr>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甲方（使用方）：</w:t>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地址：</w:t>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电话：</w:t>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传真：</w:t>
      </w:r>
      <w:r/>
    </w:p>
    <w:p>
      <w:pPr>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乙方：</w:t>
      </w:r>
      <w:r/>
    </w:p>
    <w:p>
      <w:pPr>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地址：</w:t>
      </w:r>
      <w:r/>
    </w:p>
    <w:p>
      <w:pPr>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电话：</w:t>
      </w:r>
      <w:r/>
    </w:p>
    <w:p>
      <w:pPr>
        <w:spacing w:line="360" w:lineRule="auto"/>
        <w:rPr>
          <w:rFonts w:hint="eastAsia" w:ascii="宋体" w:hAnsi="宋体" w:eastAsia="宋体" w:cs="Times New Roman"/>
          <w:color w:val="auto"/>
          <w:szCs w:val="21"/>
          <w:highlight w:val="none"/>
        </w:rPr>
      </w:pPr>
      <w:r>
        <w:rPr>
          <w:rFonts w:hint="eastAsia" w:ascii="Arial" w:hAnsi="宋体" w:eastAsia="宋体" w:cs="Times New Roman"/>
          <w:color w:val="auto"/>
          <w:szCs w:val="21"/>
          <w:highlight w:val="none"/>
        </w:rPr>
        <w:t xml:space="preserve">传真：</w:t>
      </w:r>
      <w:r/>
    </w:p>
    <w:p>
      <w:pPr>
        <w:ind w:firstLine="420"/>
        <w:spacing w:line="360" w:lineRule="auto"/>
        <w:rPr>
          <w:rFonts w:hint="default" w:ascii="Times New Roman" w:hAnsi="Times New Roman" w:eastAsia="宋体" w:cs="Times New Roman"/>
          <w:color w:val="auto"/>
          <w:highlight w:val="none"/>
        </w:rPr>
      </w:pPr>
      <w:r>
        <w:rPr>
          <w:rFonts w:hint="eastAsia" w:ascii="宋体" w:hAnsi="宋体" w:eastAsia="宋体" w:cs="Times New Roman"/>
          <w:color w:val="auto"/>
          <w:szCs w:val="21"/>
          <w:highlight w:val="none"/>
        </w:rPr>
        <w:t xml:space="preserve">本项目采用竞争性谈判采购方式，依据成交结果，决定将采购合同授予乙方。为进一步明确采购人（甲方）和成交人（乙方）采购过程中的权利、义务和经济责任，根据《中华人民共和国民法典》和《中华人民共和国政府采购法》之规定及本项目谈判文件、乙方的响应文件等相关资料，经甲方双方充分协商，遵循平等、自愿、公平和诚实信用原则，特订立本合同，以资共同遵守。</w:t>
      </w:r>
      <w:r/>
    </w:p>
    <w:p>
      <w:pPr>
        <w:ind w:firstLine="422"/>
        <w:jc w:val="left"/>
        <w:spacing w:line="360" w:lineRule="auto"/>
        <w:rPr>
          <w:rFonts w:hint="default" w:ascii="Arial" w:hAnsi="Arial" w:eastAsia="宋体" w:cs="Times New Roman"/>
          <w:color w:val="auto"/>
          <w:szCs w:val="21"/>
          <w:highlight w:val="none"/>
        </w:rPr>
      </w:pPr>
      <w:r>
        <w:rPr>
          <w:rFonts w:hint="eastAsia" w:ascii="Arial" w:hAnsi="Arial" w:eastAsia="宋体" w:cs="Times New Roman"/>
          <w:b/>
          <w:color w:val="auto"/>
          <w:szCs w:val="21"/>
          <w:highlight w:val="none"/>
        </w:rPr>
        <w:t xml:space="preserve">一、定义：</w:t>
      </w:r>
      <w:r>
        <w:rPr>
          <w:rFonts w:hint="eastAsia" w:ascii="Arial" w:hAnsi="Arial" w:eastAsia="宋体" w:cs="Times New Roman"/>
          <w:color w:val="auto"/>
          <w:szCs w:val="21"/>
          <w:highlight w:val="none"/>
        </w:rPr>
        <w:t xml:space="preserve">以下术语有特定的含义</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货物</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本合同所称货物是指乙方基于其已中标的投标文件而应向甲方提供的符合招标要求规格及功能的</w:t>
      </w:r>
      <w:r>
        <w:rPr>
          <w:rFonts w:hint="eastAsia" w:ascii="Arial" w:hAnsi="Arial" w:eastAsia="宋体" w:cs="Times New Roman"/>
          <w:b w:val="0"/>
          <w:bCs/>
          <w:color w:val="auto"/>
          <w:szCs w:val="21"/>
          <w:highlight w:val="none"/>
          <w:u w:val="single"/>
        </w:rPr>
        <w:t xml:space="preserve"> 江苏省昆山第一中等专业学校教学仪器设备 </w:t>
      </w:r>
      <w:r>
        <w:rPr>
          <w:rFonts w:hint="eastAsia" w:ascii="Arial" w:hAnsi="Arial" w:eastAsia="宋体" w:cs="Times New Roman"/>
          <w:b/>
          <w:color w:val="auto"/>
          <w:szCs w:val="21"/>
          <w:highlight w:val="none"/>
          <w:u w:val="single"/>
        </w:rPr>
        <w:t xml:space="preserve"> </w:t>
      </w:r>
      <w:r>
        <w:rPr>
          <w:rFonts w:hint="eastAsia" w:ascii="Arial" w:hAnsi="Arial" w:eastAsia="宋体" w:cs="Times New Roman"/>
          <w:color w:val="auto"/>
          <w:szCs w:val="21"/>
          <w:highlight w:val="none"/>
        </w:rPr>
        <w:t xml:space="preserve">及其全部备品备件，它还应包括由乙方送交给甲方的所有的必须文件和与使用及测试有关的应进行的任何规定的服务。</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服务</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合同价</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系指根据中标的投标文件和合同规定，乙方在正确地履行合同义务后由使用方分别支付乙方的价款。</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甲方（采购组织方）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系指组织、协调本项目招标全过程的单位。</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甲方（使用方）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系指明确规定的实际购买货物和服务的法人或其他组织和自然人。</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甲方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系指采购组织方和使用方。</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乙方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系指合同中规定的提供货物和提供服务的单位。</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损失</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本合同所指损失是指合同一方因不履行合同义务而遭致另一方及第三方的各种损失及损害的费用，还包括守约方为减轻损害或维护权利而需支付的各种调查费用，车旅费用、律师费用等。</w:t>
      </w:r>
      <w:r/>
    </w:p>
    <w:p>
      <w:pPr>
        <w:ind w:firstLine="422"/>
        <w:jc w:val="left"/>
        <w:spacing w:line="360" w:lineRule="auto"/>
        <w:rPr>
          <w:rFonts w:hint="default" w:ascii="Arial" w:hAnsi="Arial" w:eastAsia="宋体" w:cs="Times New Roman"/>
          <w:bCs/>
          <w:color w:val="auto"/>
          <w:szCs w:val="21"/>
          <w:highlight w:val="none"/>
        </w:rPr>
      </w:pPr>
      <w:r>
        <w:rPr>
          <w:rFonts w:hint="eastAsia" w:ascii="Arial" w:hAnsi="Arial" w:eastAsia="宋体" w:cs="Times New Roman"/>
          <w:b/>
          <w:color w:val="auto"/>
          <w:szCs w:val="21"/>
          <w:highlight w:val="none"/>
        </w:rPr>
        <w:t xml:space="preserve">二、项目名称：</w:t>
      </w:r>
      <w:r>
        <w:rPr>
          <w:rFonts w:hint="default" w:ascii="Arial" w:hAnsi="Arial" w:eastAsia="宋体" w:cs="Times New Roman"/>
          <w:bCs/>
          <w:color w:val="auto"/>
          <w:szCs w:val="21"/>
          <w:highlight w:val="none"/>
        </w:rPr>
        <w:t xml:space="preserve"> </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    </w:t>
      </w:r>
      <w:r>
        <w:rPr>
          <w:rFonts w:hint="eastAsia" w:ascii="Arial" w:hAnsi="Arial" w:eastAsia="宋体" w:cs="Times New Roman"/>
          <w:color w:val="auto"/>
          <w:szCs w:val="21"/>
          <w:highlight w:val="none"/>
        </w:rPr>
        <w:t xml:space="preserve">项目地点：甲方指定地点</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Arial" w:eastAsia="宋体" w:cs="Times New Roman"/>
          <w:b/>
          <w:color w:val="auto"/>
          <w:szCs w:val="21"/>
          <w:highlight w:val="none"/>
        </w:rPr>
        <w:t xml:space="preserve">三、货物或服务名称、数量及价格：</w:t>
      </w:r>
      <w:r>
        <w:rPr>
          <w:rFonts w:hint="default" w:ascii="Times New Roman" w:hAnsi="Times New Roman" w:eastAsia="宋体" w:cs="Times New Roman"/>
          <w:color w:val="auto"/>
          <w:highlight w:val="none"/>
        </w:rPr>
        <w:t xml:space="preserve"> </w:t>
      </w:r>
      <w:r/>
    </w:p>
    <w:p>
      <w:pPr>
        <w:ind w:firstLine="422"/>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四、合同总价款：</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1.合同总价款：人民币</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元整，小写￥</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2.合同总价款：应包含所提供货物、保险、税费、包装、加工及加工损耗、运输、现场落地、安装及安装损耗、调试、检测验收和交付后约定期限内免费维保及合同包含的所有风险、责任等各项应有费用。</w:t>
      </w:r>
      <w:r/>
    </w:p>
    <w:p>
      <w:pPr>
        <w:ind w:firstLine="410"/>
        <w:jc w:val="left"/>
        <w:spacing w:line="360" w:lineRule="auto"/>
        <w:rPr>
          <w:rFonts w:hint="default" w:ascii="Times New Roman" w:hAnsi="Times New Roman" w:eastAsia="宋体" w:cs="Times New Roman"/>
          <w:color w:val="auto"/>
          <w:highlight w:val="none"/>
        </w:rPr>
      </w:pPr>
      <w:r>
        <w:rPr>
          <w:rFonts w:hint="eastAsia" w:ascii="宋体" w:hAnsi="宋体" w:eastAsia="宋体" w:cs="Times New Roman"/>
          <w:color w:val="auto"/>
          <w:szCs w:val="21"/>
          <w:highlight w:val="none"/>
        </w:rPr>
        <w:t xml:space="preserve">3对于甲方在谈判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jc w:val="left"/>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五、合同总价范围：</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全部货物和服务的报价应包括所投设备及其备品、备件和专用工具费用、税费及包装、运至最终目的地的运输、保险、现场吊装、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jc w:val="left"/>
        <w:spacing w:line="360" w:lineRule="auto"/>
        <w:rPr>
          <w:rFonts w:hint="eastAsia" w:ascii="Arial" w:hAnsi="Arial" w:cs="Times New Roman"/>
          <w:color w:val="auto"/>
          <w:szCs w:val="21"/>
          <w:highlight w:val="none"/>
          <w:lang w:eastAsia="zh-CN"/>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、本项目免费质保期</w:t>
      </w:r>
      <w:r>
        <w:rPr>
          <w:rFonts w:hint="default" w:ascii="Arial" w:hAnsi="Arial" w:eastAsia="宋体" w:cs="Times New Roman"/>
          <w:color w:val="auto"/>
          <w:szCs w:val="21"/>
          <w:highlight w:val="none"/>
          <w:u w:val="single"/>
        </w:rPr>
        <w:t xml:space="preserve"> </w:t>
      </w:r>
      <w:r>
        <w:rPr>
          <w:rFonts w:hint="eastAsia" w:ascii="Arial" w:hAnsi="Arial" w:eastAsia="宋体" w:cs="Times New Roman"/>
          <w:color w:val="auto"/>
          <w:szCs w:val="21"/>
          <w:highlight w:val="none"/>
          <w:u w:val="single"/>
        </w:rPr>
        <w:t xml:space="preserve">1</w:t>
      </w:r>
      <w:r>
        <w:rPr>
          <w:rFonts w:hint="default" w:ascii="Arial" w:hAnsi="Arial" w:eastAsia="宋体" w:cs="Times New Roman"/>
          <w:color w:val="auto"/>
          <w:szCs w:val="21"/>
          <w:highlight w:val="none"/>
          <w:u w:val="single"/>
        </w:rPr>
        <w:t xml:space="preserve"> </w:t>
      </w:r>
      <w:r>
        <w:rPr>
          <w:rFonts w:hint="eastAsia" w:ascii="Arial" w:hAnsi="Arial" w:eastAsia="宋体" w:cs="Times New Roman"/>
          <w:color w:val="auto"/>
          <w:szCs w:val="21"/>
          <w:highlight w:val="none"/>
        </w:rPr>
        <w:t xml:space="preserve">年</w:t>
      </w:r>
      <w:r>
        <w:rPr>
          <w:rFonts w:hint="eastAsia" w:ascii="Arial" w:hAnsi="Arial" w:cs="Times New Roman"/>
          <w:color w:val="auto"/>
          <w:szCs w:val="21"/>
          <w:highlight w:val="none"/>
          <w:lang w:eastAsia="zh-CN"/>
        </w:rPr>
        <w:t xml:space="preserve">（自最终验收合格之日起计算）。</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Arial" w:eastAsia="宋体" w:cs="Times New Roman"/>
          <w:color w:val="auto"/>
          <w:szCs w:val="21"/>
          <w:highlight w:val="none"/>
        </w:rPr>
        <w:t xml:space="preserve">、中国政府根据现行税法征收的与本合同有关的一切税费。</w:t>
      </w:r>
      <w:r/>
    </w:p>
    <w:p>
      <w:pPr>
        <w:ind w:firstLine="422"/>
        <w:jc w:val="left"/>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六、交货内容：</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、符合本合同及招标文件规定的货物或服务。</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、保证货物使用及维修所需的全套技术资料和文件，至少应包括以下内容：货物清单；出厂合格证；操作的标识和中文标注；使用中文说明书；使用维修保养中文说明书。</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Arial" w:eastAsia="宋体" w:cs="Times New Roman"/>
          <w:color w:val="auto"/>
          <w:szCs w:val="21"/>
          <w:highlight w:val="none"/>
        </w:rPr>
        <w:t xml:space="preserve">、其它必备材料和必备工具、货物等。</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Arial" w:eastAsia="宋体" w:cs="Times New Roman"/>
          <w:b/>
          <w:color w:val="auto"/>
          <w:szCs w:val="21"/>
          <w:highlight w:val="none"/>
        </w:rPr>
        <w:t xml:space="preserve">七、交货地点：</w:t>
      </w:r>
      <w:r>
        <w:rPr>
          <w:rFonts w:hint="eastAsia" w:ascii="Arial" w:hAnsi="Arial" w:eastAsia="宋体" w:cs="Times New Roman"/>
          <w:color w:val="auto"/>
          <w:szCs w:val="21"/>
          <w:highlight w:val="none"/>
        </w:rPr>
        <w:t xml:space="preserve">乙方交货至甲方（使用方）指定地点，所发生的运输等费用及货物的损坏造成的损失由乙方承担。</w:t>
      </w:r>
      <w:r/>
    </w:p>
    <w:p>
      <w:pPr>
        <w:ind w:firstLine="422"/>
        <w:jc w:val="left"/>
        <w:spacing w:line="360" w:lineRule="auto"/>
        <w:rPr>
          <w:rFonts w:hint="eastAsia" w:ascii="宋体" w:hAnsi="宋体" w:eastAsia="宋体" w:cs="Times New Roman"/>
          <w:color w:val="auto"/>
          <w:szCs w:val="21"/>
          <w:highlight w:val="none"/>
          <w:lang w:eastAsia="zh-CN"/>
        </w:rPr>
      </w:pPr>
      <w:r>
        <w:rPr>
          <w:rFonts w:hint="eastAsia" w:ascii="Arial" w:hAnsi="Arial" w:eastAsia="宋体" w:cs="Times New Roman"/>
          <w:b/>
          <w:color w:val="auto"/>
          <w:szCs w:val="21"/>
          <w:highlight w:val="none"/>
        </w:rPr>
        <w:t xml:space="preserve">八、交付期：</w:t>
      </w:r>
      <w:r>
        <w:rPr>
          <w:rFonts w:hint="eastAsia" w:ascii="宋体" w:hAnsi="宋体" w:eastAsia="宋体" w:cs="Times New Roman"/>
          <w:color w:val="auto"/>
          <w:szCs w:val="21"/>
          <w:highlight w:val="none"/>
        </w:rPr>
        <w:t xml:space="preserve">合同签订生效后</w:t>
      </w:r>
      <w:r>
        <w:rPr>
          <w:rFonts w:hint="eastAsia" w:ascii="宋体" w:hAnsi="宋体" w:cs="Times New Roman"/>
          <w:color w:val="auto"/>
          <w:szCs w:val="21"/>
          <w:highlight w:val="none"/>
          <w:lang w:val="en-US" w:eastAsia="zh-CN"/>
        </w:rPr>
        <w:t xml:space="preserve">20</w:t>
      </w:r>
      <w:r>
        <w:rPr>
          <w:rFonts w:hint="eastAsia" w:ascii="宋体" w:hAnsi="宋体" w:eastAsia="宋体" w:cs="Times New Roman"/>
          <w:color w:val="auto"/>
          <w:szCs w:val="21"/>
          <w:highlight w:val="none"/>
        </w:rPr>
        <w:t xml:space="preserve">天内完成供货安装调试，并能通过采购方验收，交付采购方使用</w:t>
      </w:r>
      <w:r>
        <w:rPr>
          <w:rFonts w:hint="eastAsia" w:ascii="宋体" w:hAnsi="宋体" w:cs="Times New Roman"/>
          <w:color w:val="auto"/>
          <w:szCs w:val="21"/>
          <w:highlight w:val="none"/>
          <w:lang w:eastAsia="zh-CN"/>
        </w:rPr>
        <w:t xml:space="preserve">。</w:t>
      </w:r>
      <w:r/>
    </w:p>
    <w:p>
      <w:pPr>
        <w:ind w:firstLine="422"/>
        <w:jc w:val="left"/>
        <w:spacing w:line="360" w:lineRule="auto"/>
        <w:rPr>
          <w:rFonts w:hint="eastAsia" w:ascii="Arial" w:hAnsi="Arial" w:eastAsia="宋体" w:cs="Times New Roman"/>
          <w:b/>
          <w:bCs/>
          <w:color w:val="auto"/>
          <w:szCs w:val="21"/>
          <w:highlight w:val="none"/>
        </w:rPr>
      </w:pPr>
      <w:r>
        <w:rPr>
          <w:rFonts w:hint="eastAsia" w:ascii="Arial" w:hAnsi="Arial" w:eastAsia="宋体" w:cs="Times New Roman"/>
          <w:b/>
          <w:color w:val="auto"/>
          <w:szCs w:val="21"/>
          <w:highlight w:val="none"/>
        </w:rPr>
        <w:t xml:space="preserve">九、</w:t>
      </w:r>
      <w:r>
        <w:rPr>
          <w:rFonts w:hint="eastAsia" w:ascii="Arial" w:hAnsi="Arial" w:eastAsia="宋体" w:cs="Times New Roman"/>
          <w:b/>
          <w:bCs/>
          <w:color w:val="auto"/>
          <w:szCs w:val="21"/>
          <w:highlight w:val="none"/>
        </w:rPr>
        <w:t xml:space="preserve">付款方式：验收合格后</w:t>
      </w:r>
      <w:r>
        <w:rPr>
          <w:rFonts w:hint="eastAsia" w:ascii="Arial" w:hAnsi="Arial" w:cs="Times New Roman"/>
          <w:b/>
          <w:bCs/>
          <w:color w:val="auto"/>
          <w:szCs w:val="21"/>
          <w:highlight w:val="none"/>
          <w:lang w:val="en-US" w:eastAsia="zh-CN"/>
        </w:rPr>
        <w:t xml:space="preserve">一次性付款（</w:t>
      </w:r>
      <w:r>
        <w:rPr>
          <w:rFonts w:hint="eastAsia" w:ascii="Arial" w:hAnsi="Arial" w:eastAsia="宋体" w:cs="Times New Roman"/>
          <w:b/>
          <w:bCs/>
          <w:color w:val="auto"/>
          <w:szCs w:val="21"/>
          <w:highlight w:val="none"/>
        </w:rPr>
        <w:t xml:space="preserve">数字人民币账号转账付款</w:t>
      </w:r>
      <w:r>
        <w:rPr>
          <w:rFonts w:hint="eastAsia" w:ascii="Arial" w:hAnsi="Arial" w:cs="Times New Roman"/>
          <w:b/>
          <w:bCs/>
          <w:color w:val="auto"/>
          <w:szCs w:val="21"/>
          <w:highlight w:val="none"/>
          <w:lang w:val="en-US" w:eastAsia="zh-CN"/>
        </w:rPr>
        <w:t xml:space="preserve">）</w:t>
      </w:r>
      <w:r>
        <w:rPr>
          <w:rFonts w:hint="eastAsia" w:ascii="Arial" w:hAnsi="Arial" w:eastAsia="宋体" w:cs="Times New Roman"/>
          <w:b/>
          <w:bCs/>
          <w:color w:val="auto"/>
          <w:szCs w:val="21"/>
          <w:highlight w:val="none"/>
        </w:rPr>
        <w:t xml:space="preserve">。</w:t>
      </w:r>
      <w:r/>
    </w:p>
    <w:p>
      <w:pPr>
        <w:ind w:firstLine="422"/>
        <w:jc w:val="left"/>
        <w:spacing w:line="360" w:lineRule="auto"/>
        <w:rPr>
          <w:rFonts w:hint="default" w:ascii="Arial" w:hAnsi="Arial" w:eastAsia="宋体" w:cs="Times New Roman"/>
          <w:b/>
          <w:bCs/>
          <w:color w:val="auto"/>
          <w:szCs w:val="21"/>
          <w:highlight w:val="none"/>
        </w:rPr>
      </w:pPr>
      <w:r>
        <w:rPr>
          <w:rFonts w:hint="default" w:ascii="Arial" w:hAnsi="Arial" w:eastAsia="宋体" w:cs="Times New Roman"/>
          <w:b/>
          <w:bCs/>
          <w:color w:val="auto"/>
          <w:szCs w:val="21"/>
          <w:highlight w:val="none"/>
        </w:rPr>
      </w:r>
      <w:r/>
    </w:p>
    <w:p>
      <w:pPr>
        <w:ind w:firstLine="422"/>
        <w:jc w:val="left"/>
        <w:spacing w:line="360" w:lineRule="auto"/>
        <w:rPr>
          <w:rFonts w:hint="default" w:ascii="Arial" w:hAnsi="Arial" w:eastAsia="宋体" w:cs="Times New Roman"/>
          <w:b/>
          <w:bCs/>
          <w:color w:val="auto"/>
          <w:szCs w:val="21"/>
          <w:highlight w:val="none"/>
        </w:rPr>
      </w:pPr>
      <w:r>
        <w:rPr>
          <w:rFonts w:hint="default" w:ascii="Arial" w:hAnsi="Arial" w:eastAsia="宋体" w:cs="Times New Roman"/>
          <w:b/>
          <w:bCs/>
          <w:color w:val="auto"/>
          <w:szCs w:val="21"/>
          <w:highlight w:val="none"/>
        </w:rPr>
      </w:r>
      <w:r/>
    </w:p>
    <w:tbl>
      <w:tblPr>
        <w:tblStyle w:val="686"/>
        <w:tblW w:w="9262" w:type="dxa"/>
        <w:tblInd w:w="93" w:type="dxa"/>
        <w:tblLayout w:type="autofit"/>
        <w:tblCellMar>
          <w:left w:w="108" w:type="dxa"/>
          <w:top w:w="0" w:type="dxa"/>
          <w:right w:w="108" w:type="dxa"/>
          <w:bottom w:w="0" w:type="dxa"/>
        </w:tblCellMar>
        <w:tblLook w:val="04A0" w:firstRow="1" w:lastRow="0" w:firstColumn="1" w:lastColumn="0" w:noHBand="0" w:noVBand="1"/>
      </w:tblPr>
      <w:tblGrid>
        <w:gridCol w:w="808"/>
        <w:gridCol w:w="3556"/>
        <w:gridCol w:w="883"/>
        <w:gridCol w:w="1627"/>
        <w:gridCol w:w="2388"/>
      </w:tblGrid>
      <w:tr>
        <w:trPr>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采购内容</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投标报价</w:t>
            </w:r>
            <w:r/>
          </w:p>
        </w:tc>
        <w:tc>
          <w:tcPr>
            <w:tcBorders>
              <w:top w:val="single" w:color="000000" w:sz="4" w:space="0"/>
              <w:left w:val="none" w:color="000000" w:sz="4" w:space="0"/>
              <w:bottom w:val="single" w:color="000000" w:sz="4" w:space="0"/>
              <w:right w:val="single" w:color="000000" w:sz="4" w:space="0"/>
            </w:tcBorders>
            <w:tcW w:w="2388" w:type="dxa"/>
            <w:vAlign w:val="center"/>
            <w:textDirection w:val="lrTb"/>
            <w:noWrap/>
          </w:tcPr>
          <w:p>
            <w:pPr>
              <w:jc w:val="center"/>
              <w:spacing w:line="360" w:lineRule="auto"/>
              <w:widowControl/>
              <w:rPr>
                <w:rFonts w:hint="eastAsia" w:ascii="Arial" w:hAnsi="Arial" w:eastAsia="宋体" w:cs="Times New Roman"/>
                <w:b/>
                <w:bCs/>
                <w:color w:val="auto"/>
                <w:szCs w:val="21"/>
                <w:highlight w:val="none"/>
                <w:lang w:eastAsia="zh-CN"/>
              </w:rPr>
            </w:pPr>
            <w:r>
              <w:rPr>
                <w:rFonts w:hint="eastAsia" w:ascii="Arial" w:hAnsi="Arial" w:cs="Times New Roman"/>
                <w:b/>
                <w:bCs/>
                <w:color w:val="auto"/>
                <w:szCs w:val="21"/>
                <w:highlight w:val="none"/>
                <w:lang w:val="en-US" w:eastAsia="zh-CN"/>
              </w:rPr>
              <w:t xml:space="preserve">备注</w:t>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left"/>
              <w:spacing w:line="360" w:lineRule="auto"/>
              <w:widowControl/>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Borders>
              <w:top w:val="single" w:color="000000" w:sz="4" w:space="0"/>
              <w:left w:val="none" w:color="000000" w:sz="4" w:space="0"/>
              <w:bottom w:val="single" w:color="000000" w:sz="4" w:space="0"/>
              <w:right w:val="single" w:color="000000" w:sz="4" w:space="0"/>
            </w:tcBorders>
            <w:tcW w:w="2388" w:type="dxa"/>
            <w:vAlign w:val="center"/>
            <w:vMerge w:val="restart"/>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091"/>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bl>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、付款前乙方需出具发票至甲方（使用方）。如乙方未开具合规发票给甲方，甲方有权拒绝付款，由此产生的纠纷由乙方承担一切后果。同时因乙方提供的票据不合法而导致的甲方损失的，乙方须承担赔偿责任。</w:t>
      </w:r>
      <w:r/>
    </w:p>
    <w:p>
      <w:pPr>
        <w:ind w:firstLine="420"/>
        <w:jc w:val="left"/>
        <w:spacing w:line="360" w:lineRule="auto"/>
        <w:widowControl/>
        <w:tabs>
          <w:tab w:val="left" w:pos="1980" w:leader="none"/>
        </w:tabs>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名称：</w:t>
      </w:r>
      <w:r>
        <w:rPr>
          <w:rFonts w:hint="default" w:ascii="Arial" w:hAnsi="Arial" w:eastAsia="宋体" w:cs="Times New Roman"/>
          <w:color w:val="auto"/>
          <w:szCs w:val="21"/>
          <w:highlight w:val="none"/>
          <w:u w:val="single"/>
        </w:rPr>
        <w:t xml:space="preserve">                                              </w:t>
      </w:r>
      <w:r/>
    </w:p>
    <w:p>
      <w:pPr>
        <w:ind w:firstLine="420"/>
        <w:jc w:val="left"/>
        <w:spacing w:line="360" w:lineRule="auto"/>
        <w:widowControl/>
        <w:tabs>
          <w:tab w:val="left" w:pos="1980" w:leader="none"/>
        </w:tabs>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地址、电话：</w:t>
      </w:r>
      <w:r>
        <w:rPr>
          <w:rFonts w:hint="default" w:ascii="Arial" w:hAnsi="Arial" w:eastAsia="宋体" w:cs="Times New Roman"/>
          <w:color w:val="auto"/>
          <w:szCs w:val="21"/>
          <w:highlight w:val="none"/>
          <w:u w:val="single"/>
        </w:rPr>
        <w:t xml:space="preserve">                                        </w:t>
      </w:r>
      <w:r/>
    </w:p>
    <w:p>
      <w:pPr>
        <w:ind w:firstLine="420"/>
        <w:jc w:val="left"/>
        <w:spacing w:line="360" w:lineRule="auto"/>
        <w:widowControl/>
        <w:tabs>
          <w:tab w:val="left" w:pos="1980" w:leader="none"/>
        </w:tabs>
        <w:rPr>
          <w:rFonts w:hint="default" w:ascii="Arial" w:hAnsi="Arial" w:eastAsia="宋体" w:cs="Times New Roman"/>
          <w:color w:val="auto"/>
          <w:szCs w:val="21"/>
          <w:highlight w:val="none"/>
          <w:u w:val="single"/>
        </w:rPr>
      </w:pPr>
      <w:r>
        <w:rPr>
          <w:rFonts w:hint="eastAsia" w:ascii="Arial" w:hAnsi="Arial" w:eastAsia="宋体" w:cs="Times New Roman"/>
          <w:color w:val="auto"/>
          <w:szCs w:val="21"/>
          <w:highlight w:val="none"/>
        </w:rPr>
        <w:t xml:space="preserve">开户行：</w:t>
      </w:r>
      <w:r>
        <w:rPr>
          <w:rFonts w:hint="default" w:ascii="Arial" w:hAnsi="Arial" w:eastAsia="宋体" w:cs="Times New Roman"/>
          <w:color w:val="auto"/>
          <w:szCs w:val="21"/>
          <w:highlight w:val="none"/>
          <w:u w:val="single"/>
        </w:rPr>
        <w:t xml:space="preserve">                                            </w:t>
      </w:r>
      <w:r/>
    </w:p>
    <w:p>
      <w:pPr>
        <w:ind w:firstLine="420"/>
        <w:jc w:val="left"/>
        <w:spacing w:line="360" w:lineRule="auto"/>
        <w:widowControl/>
        <w:tabs>
          <w:tab w:val="left" w:pos="1980" w:leader="none"/>
        </w:tabs>
        <w:rPr>
          <w:rFonts w:hint="default" w:ascii="Times New Roman" w:hAnsi="Times New Roman" w:eastAsia="宋体" w:cs="Times New Roman"/>
          <w:color w:val="auto"/>
          <w:highlight w:val="none"/>
        </w:rPr>
      </w:pPr>
      <w:r>
        <w:rPr>
          <w:rFonts w:hint="eastAsia" w:ascii="Arial" w:hAnsi="Arial" w:eastAsia="宋体" w:cs="Times New Roman"/>
          <w:color w:val="auto"/>
          <w:szCs w:val="21"/>
          <w:highlight w:val="none"/>
        </w:rPr>
        <w:t xml:space="preserve">账号：</w:t>
      </w:r>
      <w:r>
        <w:rPr>
          <w:rFonts w:hint="default" w:ascii="Arial" w:hAnsi="Arial" w:eastAsia="宋体" w:cs="Times New Roman"/>
          <w:color w:val="auto"/>
          <w:szCs w:val="21"/>
          <w:highlight w:val="none"/>
          <w:u w:val="single"/>
        </w:rPr>
        <w:t xml:space="preserve">                                              </w:t>
      </w:r>
      <w:r/>
    </w:p>
    <w:p>
      <w:pPr>
        <w:ind w:firstLine="422"/>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十、以下情形付款义务方有权拒绝付款：</w:t>
      </w:r>
      <w:r/>
    </w:p>
    <w:p>
      <w:pPr>
        <w:ind w:firstLine="42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、经验收（检测）质量不合格，产品不合格且未在合同约定的期限内整改到位的。</w:t>
      </w:r>
      <w:r/>
    </w:p>
    <w:p>
      <w:pPr>
        <w:ind w:firstLine="42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、乙方所供货物与采购最终确定的主要技术参数不符，不能甚至拒绝在合同约定的期限内整改到位的，对影响到使用方正常教学（工作）的，甲方保留进一步处罚的权利。</w:t>
      </w:r>
      <w:r/>
    </w:p>
    <w:p>
      <w:pPr>
        <w:ind w:firstLine="420"/>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注：以下货物（产品）不予退还情形：</w:t>
      </w:r>
      <w:r/>
    </w:p>
    <w:p>
      <w:pPr>
        <w:ind w:firstLine="42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、经验收（检测）质量不合格的，由相关部门处理，一律不予退还。</w:t>
      </w:r>
      <w:r/>
    </w:p>
    <w:p>
      <w:pPr>
        <w:ind w:firstLine="420"/>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、不合格的产品如涉及师生安全、健康的，一律由相关部门予以销毁。</w:t>
      </w:r>
      <w:r/>
    </w:p>
    <w:p>
      <w:pPr>
        <w:ind w:firstLine="422"/>
        <w:spacing w:line="360" w:lineRule="auto"/>
        <w:rPr>
          <w:rFonts w:hint="default" w:ascii="Arial" w:hAnsi="Arial" w:eastAsia="宋体" w:cs="Times New Roman"/>
          <w:b/>
          <w:color w:val="auto"/>
          <w:szCs w:val="21"/>
          <w:highlight w:val="none"/>
        </w:rPr>
      </w:pPr>
      <w:r/>
      <w:bookmarkStart w:id="16" w:name="_Toc356916303"/>
      <w:r/>
      <w:bookmarkEnd w:id="16"/>
      <w:r/>
      <w:bookmarkStart w:id="17" w:name="_Toc356916345"/>
      <w:r/>
      <w:bookmarkEnd w:id="17"/>
      <w:r>
        <w:rPr>
          <w:rFonts w:hint="eastAsia" w:ascii="Arial" w:hAnsi="宋体" w:eastAsia="宋体" w:cs="Times New Roman"/>
          <w:b/>
          <w:color w:val="auto"/>
          <w:szCs w:val="21"/>
          <w:highlight w:val="none"/>
        </w:rPr>
        <w:t xml:space="preserve">十一、储放和保护：</w:t>
      </w:r>
      <w:r/>
    </w:p>
    <w:p>
      <w:pPr>
        <w:ind w:firstLine="420"/>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货物由乙方运至甲方（使用方）指定地点，验收交货前存放及保管概由乙方负责。</w:t>
      </w:r>
      <w:r/>
    </w:p>
    <w:p>
      <w:pPr>
        <w:ind w:firstLine="422"/>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十二、技术条款：</w:t>
      </w:r>
      <w:r/>
    </w:p>
    <w:p>
      <w:pPr>
        <w:ind w:firstLine="420"/>
        <w:spacing w:line="360" w:lineRule="auto"/>
        <w:rPr>
          <w:rFonts w:hint="default" w:ascii="Times New Roman" w:hAnsi="Times New Roman" w:eastAsia="宋体" w:cs="Times New Roman"/>
          <w:color w:val="auto"/>
          <w:highlight w:val="none"/>
        </w:rPr>
      </w:pPr>
      <w:r>
        <w:rPr>
          <w:rFonts w:hint="eastAsia" w:ascii="Arial" w:hAnsi="宋体" w:eastAsia="宋体" w:cs="Times New Roman"/>
          <w:color w:val="auto"/>
          <w:szCs w:val="21"/>
          <w:highlight w:val="none"/>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十三、质量保证：</w:t>
      </w:r>
      <w:r/>
    </w:p>
    <w:p>
      <w:pPr>
        <w:ind w:firstLine="420"/>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color w:val="auto"/>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十四、货物检测（如有涉及）：</w:t>
      </w:r>
      <w:r/>
    </w:p>
    <w:p>
      <w:pPr>
        <w:ind w:firstLine="420"/>
        <w:spacing w:line="360" w:lineRule="auto"/>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1</w:t>
      </w:r>
      <w:r>
        <w:rPr>
          <w:rFonts w:hint="eastAsia" w:ascii="Arial" w:hAnsi="宋体" w:eastAsia="宋体" w:cs="Times New Roman"/>
          <w:bCs/>
          <w:color w:val="auto"/>
          <w:szCs w:val="21"/>
          <w:highlight w:val="none"/>
        </w:rPr>
        <w:t xml:space="preserve">、甲方（使用方）有权委托第三方有资质的检测机构对中标人的生产过程及原材、工艺进行检查检测，检测内容为标书中技术参数要求，包括物品的质地、环保等性能是否达标，对于不按国家有关质量要求、采购人提出的技术及生产工艺要求以及中标人承诺进行生产的，有权提出整改、返工等要求，中标人必须整改到位不得以任何理由拒绝。</w:t>
      </w:r>
      <w:r/>
    </w:p>
    <w:p>
      <w:pPr>
        <w:ind w:firstLine="420"/>
        <w:spacing w:line="360" w:lineRule="auto"/>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2</w:t>
      </w:r>
      <w:r>
        <w:rPr>
          <w:rFonts w:hint="eastAsia" w:ascii="Arial" w:hAnsi="宋体" w:eastAsia="宋体" w:cs="Times New Roman"/>
          <w:bCs/>
          <w:color w:val="auto"/>
          <w:szCs w:val="21"/>
          <w:highlight w:val="none"/>
        </w:rPr>
        <w:t xml:space="preserve">、产品到学校后的质量抽查。对于中标人提供的货物，送达后采购人有权要求第三方有资质的检测机构从中随机抽取进行全项检测（抽检比例不高于</w:t>
      </w:r>
      <w:r>
        <w:rPr>
          <w:rFonts w:hint="default" w:ascii="Arial" w:hAnsi="宋体" w:eastAsia="宋体" w:cs="Times New Roman"/>
          <w:bCs/>
          <w:color w:val="auto"/>
          <w:szCs w:val="21"/>
          <w:highlight w:val="none"/>
        </w:rPr>
        <w:t xml:space="preserve">1%</w:t>
      </w:r>
      <w:r>
        <w:rPr>
          <w:rFonts w:hint="eastAsia" w:ascii="Arial" w:hAnsi="宋体" w:eastAsia="宋体" w:cs="Times New Roman"/>
          <w:bCs/>
          <w:color w:val="auto"/>
          <w:szCs w:val="21"/>
          <w:highlight w:val="none"/>
        </w:rPr>
        <w:t xml:space="preserve">），中标人不得指定不得拒绝，检测合格方可交付使用方使用。</w:t>
      </w:r>
      <w:r/>
    </w:p>
    <w:p>
      <w:pPr>
        <w:ind w:firstLine="420"/>
        <w:spacing w:line="360" w:lineRule="auto"/>
        <w:rPr>
          <w:rFonts w:hint="default" w:ascii="Times New Roman" w:hAnsi="Times New Roman" w:eastAsia="宋体" w:cs="Times New Roman"/>
          <w:color w:val="auto"/>
          <w:highlight w:val="none"/>
        </w:rPr>
      </w:pPr>
      <w:r>
        <w:rPr>
          <w:rFonts w:hint="default" w:ascii="Arial" w:hAnsi="Arial" w:eastAsia="宋体" w:cs="Times New Roman"/>
          <w:bCs/>
          <w:color w:val="auto"/>
          <w:szCs w:val="21"/>
          <w:highlight w:val="none"/>
        </w:rPr>
        <w:t xml:space="preserve">3</w:t>
      </w:r>
      <w:r>
        <w:rPr>
          <w:rFonts w:hint="eastAsia" w:ascii="Arial" w:hAnsi="宋体" w:eastAsia="宋体" w:cs="Times New Roman"/>
          <w:bCs/>
          <w:color w:val="auto"/>
          <w:szCs w:val="21"/>
          <w:highlight w:val="none"/>
        </w:rPr>
        <w:t xml:space="preserve">、对于以上的随机检测费用由中标人承担（投标报价时应考虑在内）。</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十五、本合同应为完整货物及功能的提供：</w:t>
      </w:r>
      <w:r/>
    </w:p>
    <w:p>
      <w:pPr>
        <w:ind w:firstLine="420"/>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color w:val="auto"/>
          <w:szCs w:val="21"/>
          <w:highlight w:val="none"/>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十六、售后服务：</w:t>
      </w:r>
      <w:r/>
    </w:p>
    <w:p>
      <w:pPr>
        <w:ind w:firstLine="420"/>
        <w:jc w:val="left"/>
        <w:spacing w:line="360" w:lineRule="auto"/>
        <w:rPr>
          <w:rFonts w:hint="eastAsia" w:ascii="Arial" w:hAnsi="宋体" w:eastAsia="宋体" w:cs="Times New Roman"/>
          <w:color w:val="auto"/>
          <w:szCs w:val="21"/>
          <w:highlight w:val="none"/>
        </w:rPr>
      </w:pPr>
      <w:r>
        <w:rPr>
          <w:rFonts w:hint="default" w:ascii="Arial" w:hAnsi="宋体" w:eastAsia="宋体" w:cs="Times New Roman"/>
          <w:color w:val="auto"/>
          <w:szCs w:val="21"/>
          <w:highlight w:val="none"/>
        </w:rPr>
        <w:t xml:space="preserve">1</w:t>
      </w:r>
      <w:r>
        <w:rPr>
          <w:rFonts w:hint="eastAsia" w:ascii="Arial" w:hAnsi="宋体" w:eastAsia="宋体" w:cs="Times New Roman"/>
          <w:color w:val="auto"/>
          <w:szCs w:val="21"/>
          <w:highlight w:val="none"/>
        </w:rPr>
        <w:t xml:space="preserve">、免费质保期</w:t>
      </w:r>
      <w:r>
        <w:rPr>
          <w:rFonts w:hint="eastAsia" w:ascii="Arial" w:hAnsi="宋体" w:eastAsia="宋体" w:cs="Times New Roman"/>
          <w:color w:val="auto"/>
          <w:szCs w:val="21"/>
          <w:highlight w:val="none"/>
          <w:u w:val="single"/>
        </w:rPr>
        <w:t xml:space="preserve">1</w:t>
      </w:r>
      <w:r>
        <w:rPr>
          <w:rFonts w:hint="eastAsia" w:ascii="Arial" w:hAnsi="宋体" w:eastAsia="宋体" w:cs="Times New Roman"/>
          <w:color w:val="auto"/>
          <w:szCs w:val="21"/>
          <w:highlight w:val="none"/>
        </w:rPr>
        <w:t xml:space="preserve">年</w:t>
      </w:r>
      <w:r>
        <w:rPr>
          <w:rFonts w:hint="eastAsia" w:ascii="Arial" w:hAnsi="宋体" w:cs="Times New Roman"/>
          <w:color w:val="auto"/>
          <w:szCs w:val="21"/>
          <w:highlight w:val="none"/>
          <w:lang w:eastAsia="zh-CN"/>
        </w:rPr>
        <w:t xml:space="preserve">（</w:t>
      </w:r>
      <w:r>
        <w:rPr>
          <w:rFonts w:hint="eastAsia" w:ascii="Arial" w:hAnsi="Arial" w:cs="Times New Roman"/>
          <w:color w:val="auto"/>
          <w:szCs w:val="21"/>
          <w:highlight w:val="none"/>
          <w:lang w:eastAsia="zh-CN"/>
        </w:rPr>
        <w:t xml:space="preserve">自最终验收合格之日起计算</w:t>
      </w:r>
      <w:r>
        <w:rPr>
          <w:rFonts w:hint="eastAsia" w:ascii="Arial" w:hAnsi="宋体" w:cs="Times New Roman"/>
          <w:color w:val="auto"/>
          <w:szCs w:val="21"/>
          <w:highlight w:val="none"/>
          <w:lang w:eastAsia="zh-CN"/>
        </w:rPr>
        <w:t xml:space="preserve">），</w:t>
      </w:r>
      <w:r>
        <w:rPr>
          <w:rFonts w:hint="eastAsia" w:ascii="Arial" w:hAnsi="宋体" w:eastAsia="宋体" w:cs="Times New Roman"/>
          <w:color w:val="auto"/>
          <w:szCs w:val="21"/>
          <w:highlight w:val="none"/>
        </w:rPr>
        <w:t xml:space="preserve">质保期内，</w:t>
      </w:r>
      <w:r>
        <w:rPr>
          <w:rFonts w:hint="eastAsia" w:ascii="Arial" w:hAnsi="宋体" w:cs="Times New Roman"/>
          <w:color w:val="auto"/>
          <w:szCs w:val="21"/>
          <w:highlight w:val="none"/>
          <w:lang w:val="en-US" w:eastAsia="zh-CN"/>
        </w:rPr>
        <w:t xml:space="preserve">乙方</w:t>
      </w:r>
      <w:r>
        <w:rPr>
          <w:rFonts w:hint="eastAsia" w:ascii="Arial" w:hAnsi="宋体" w:eastAsia="宋体" w:cs="Times New Roman"/>
          <w:color w:val="auto"/>
          <w:szCs w:val="21"/>
          <w:highlight w:val="none"/>
        </w:rPr>
        <w:t xml:space="preserve">应对设备因自身质量问题出现的故障免费提供维修、更换零部件等服务，确保设备正常运行；因</w:t>
      </w:r>
      <w:r>
        <w:rPr>
          <w:rFonts w:hint="eastAsia" w:ascii="Arial" w:hAnsi="宋体" w:cs="Times New Roman"/>
          <w:color w:val="auto"/>
          <w:szCs w:val="21"/>
          <w:highlight w:val="none"/>
          <w:lang w:val="en-US" w:eastAsia="zh-CN"/>
        </w:rPr>
        <w:t xml:space="preserve">甲方</w:t>
      </w:r>
      <w:r>
        <w:rPr>
          <w:rFonts w:hint="eastAsia" w:ascii="Arial" w:hAnsi="宋体" w:eastAsia="宋体" w:cs="Times New Roman"/>
          <w:color w:val="auto"/>
          <w:szCs w:val="21"/>
          <w:highlight w:val="none"/>
        </w:rPr>
        <w:t xml:space="preserve">使用不当导致的故障，</w:t>
      </w:r>
      <w:r>
        <w:rPr>
          <w:rFonts w:hint="eastAsia" w:ascii="Arial" w:hAnsi="宋体" w:cs="Times New Roman"/>
          <w:color w:val="auto"/>
          <w:szCs w:val="21"/>
          <w:highlight w:val="none"/>
          <w:lang w:val="en-US" w:eastAsia="zh-CN"/>
        </w:rPr>
        <w:t xml:space="preserve">乙方</w:t>
      </w:r>
      <w:r>
        <w:rPr>
          <w:rFonts w:hint="eastAsia" w:ascii="Arial" w:hAnsi="宋体" w:eastAsia="宋体" w:cs="Times New Roman"/>
          <w:color w:val="auto"/>
          <w:szCs w:val="21"/>
          <w:highlight w:val="none"/>
        </w:rPr>
        <w:t xml:space="preserve">可提供有偿服务，费用由双方协商确定。</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宋体" w:eastAsia="宋体" w:cs="Times New Roman"/>
          <w:color w:val="auto"/>
          <w:szCs w:val="21"/>
          <w:highlight w:val="none"/>
        </w:rPr>
        <w:t xml:space="preserve">2</w:t>
      </w:r>
      <w:r>
        <w:rPr>
          <w:rFonts w:hint="eastAsia" w:ascii="Arial" w:hAnsi="宋体" w:eastAsia="宋体" w:cs="Times New Roman"/>
          <w:color w:val="auto"/>
          <w:szCs w:val="21"/>
          <w:highlight w:val="none"/>
        </w:rPr>
        <w:t xml:space="preserve">、其他见乙方投标文件中的承诺。</w:t>
      </w:r>
      <w:r/>
    </w:p>
    <w:p>
      <w:pPr>
        <w:ind w:firstLine="422"/>
        <w:jc w:val="left"/>
        <w:spacing w:line="360" w:lineRule="auto"/>
        <w:rPr>
          <w:rFonts w:hint="eastAsia" w:ascii="Arial" w:hAnsi="宋体" w:eastAsia="宋体" w:cs="Times New Roman"/>
          <w:b/>
          <w:color w:val="auto"/>
          <w:szCs w:val="21"/>
          <w:highlight w:val="none"/>
        </w:rPr>
      </w:pPr>
      <w:r>
        <w:rPr>
          <w:rFonts w:hint="eastAsia" w:ascii="Arial" w:hAnsi="宋体" w:eastAsia="宋体" w:cs="Times New Roman"/>
          <w:b/>
          <w:color w:val="auto"/>
          <w:szCs w:val="21"/>
          <w:highlight w:val="none"/>
        </w:rPr>
        <w:t xml:space="preserve">十七、不可抗拒事故：</w:t>
      </w:r>
      <w:r/>
    </w:p>
    <w:p>
      <w:pPr>
        <w:ind w:firstLine="422"/>
        <w:jc w:val="left"/>
        <w:spacing w:line="360" w:lineRule="auto"/>
        <w:rPr>
          <w:rFonts w:hint="eastAsia" w:ascii="Arial" w:hAnsi="宋体" w:cs="Times New Roman"/>
          <w:b w:val="0"/>
          <w:bCs/>
          <w:color w:val="auto"/>
          <w:szCs w:val="21"/>
          <w:highlight w:val="none"/>
          <w:lang w:val="en-US" w:eastAsia="zh-CN"/>
        </w:rPr>
      </w:pPr>
      <w:r>
        <w:rPr>
          <w:rFonts w:hint="eastAsia" w:ascii="Arial" w:hAnsi="宋体" w:cs="Times New Roman"/>
          <w:b w:val="0"/>
          <w:bCs/>
          <w:color w:val="auto"/>
          <w:szCs w:val="21"/>
          <w:highlight w:val="none"/>
          <w:lang w:val="en-US" w:eastAsia="zh-CN"/>
        </w:rPr>
        <w:t xml:space="preserve">若遇不可抗力因素（包括但不限于地震、洪水、台风等自然灾害，政府征收、征用、政策调整等行政行为，战争、罢工等社会异常事件）导致交货延迟，乙方应立即告知甲方，并应在不可抗力发生后7个工作日内将当地有关部门出具的事故证明书以书面形式通知甲方，双方协商顺延交货期。在上述情况下，乙方仍应采取必要措施尽快交货。意外事故持续15天以上，甲方有权取消此合同，并保留要求乙方赔偿的权利。</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十八、甲方权力及义务：</w:t>
      </w:r>
      <w:r/>
    </w:p>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、组织、协调本项目招标全过程。</w:t>
      </w:r>
      <w:r/>
    </w:p>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、有权对项目施工过程进行监管，有权委托第三方对项目进行验收和检测，并对产品质量进行跟踪及调查。</w:t>
      </w:r>
      <w:r/>
    </w:p>
    <w:p>
      <w:pPr>
        <w:ind w:firstLine="420"/>
        <w:jc w:val="left"/>
        <w:spacing w:line="360" w:lineRule="auto"/>
        <w:widowControl/>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、负责对双方履约行为进行监管。</w:t>
      </w:r>
      <w:r/>
    </w:p>
    <w:p>
      <w:pPr>
        <w:ind w:firstLine="422"/>
        <w:jc w:val="left"/>
        <w:spacing w:line="360" w:lineRule="auto"/>
        <w:widowControl/>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十九、违约责任：</w:t>
      </w:r>
      <w:r/>
    </w:p>
    <w:p>
      <w:pPr>
        <w:ind w:firstLine="420"/>
        <w:jc w:val="left"/>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乙方有下列违约情况之一，并在收到甲方发出的</w:t>
      </w:r>
      <w:r>
        <w:rPr>
          <w:rFonts w:hint="default"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乙方违约通知书</w:t>
      </w:r>
      <w:r>
        <w:rPr>
          <w:rFonts w:hint="default"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的当日或经甲方书面认可延长的时间内未能纠正过失，甲方有权单方终止部分或全部合同，在这种情况下，并不影响甲方向乙方提出索赔。</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除人力不可抗拒因素外，乙方不能按期交货，或因运输及安装中货物缺损需要更换而影响实际交付使用时，乙方需按合同总金额的5%向采购方支付违约金，若延迟导致采购方损失超过违约金的，乙方应赔偿实际损失。</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、延期交货时间超过</w:t>
      </w:r>
      <w:r>
        <w:rPr>
          <w:rFonts w:hint="default" w:ascii="Arial" w:hAnsi="Arial" w:eastAsia="宋体" w:cs="Times New Roman"/>
          <w:color w:val="auto"/>
          <w:szCs w:val="21"/>
          <w:highlight w:val="none"/>
        </w:rPr>
        <w:t xml:space="preserve">10</w:t>
      </w:r>
      <w:r>
        <w:rPr>
          <w:rFonts w:hint="eastAsia" w:ascii="Arial" w:hAnsi="宋体" w:eastAsia="宋体" w:cs="Times New Roman"/>
          <w:color w:val="auto"/>
          <w:szCs w:val="21"/>
          <w:highlight w:val="none"/>
        </w:rPr>
        <w:t xml:space="preserve">天或交货不合格从而影响甲方按期正常使用的视为乙方严重违约，甲方有权立即终止合同，乙方仍需向甲方支付合同总金额的5%违约金，并赔偿甲方相关损失，双倍返还定金及甲方已支付的合同款。</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、乙方因违反合同及招标文件其他应尽义务的，甲方有权根据乙方违约程度要求乙方支付合同总</w:t>
      </w:r>
      <w:r>
        <w:rPr>
          <w:rFonts w:hint="eastAsia" w:ascii="Arial" w:hAnsi="宋体" w:cs="Times New Roman"/>
          <w:color w:val="auto"/>
          <w:szCs w:val="21"/>
          <w:highlight w:val="none"/>
          <w:lang w:val="en-US" w:eastAsia="zh-CN"/>
        </w:rPr>
        <w:t xml:space="preserve">金额的</w:t>
      </w:r>
      <w:r>
        <w:rPr>
          <w:rFonts w:hint="default" w:ascii="Arial" w:hAnsi="Arial" w:eastAsia="宋体" w:cs="Times New Roman"/>
          <w:color w:val="auto"/>
          <w:szCs w:val="21"/>
          <w:highlight w:val="none"/>
        </w:rPr>
        <w:t xml:space="preserve">5%</w:t>
      </w:r>
      <w:r>
        <w:rPr>
          <w:rFonts w:hint="eastAsia" w:ascii="Arial" w:hAnsi="宋体" w:eastAsia="宋体" w:cs="Times New Roman"/>
          <w:color w:val="auto"/>
          <w:szCs w:val="21"/>
          <w:highlight w:val="none"/>
        </w:rPr>
        <w:t xml:space="preserve">违约金。如违约金不足弥补甲方损失的，由乙方另行支付，由此引起的后果，甲方保留进一步追索的权利。</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4</w:t>
      </w:r>
      <w:r>
        <w:rPr>
          <w:rFonts w:hint="eastAsia" w:ascii="Arial" w:hAnsi="宋体" w:eastAsia="宋体" w:cs="Times New Roman"/>
          <w:color w:val="auto"/>
          <w:szCs w:val="21"/>
          <w:highlight w:val="none"/>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二十、索赔：</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索赔方式除上述规定之外，甲方还有权选择以下方式进行索赔：</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、根据货物的损坏程度以及甲方遭受损失的数额，经甲乙双方商定降低货物的价格。</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4</w:t>
      </w:r>
      <w:r>
        <w:rPr>
          <w:rFonts w:hint="eastAsia" w:ascii="Arial" w:hAnsi="宋体" w:eastAsia="宋体" w:cs="Times New Roman"/>
          <w:color w:val="auto"/>
          <w:szCs w:val="21"/>
          <w:highlight w:val="none"/>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b/>
          <w:color w:val="auto"/>
          <w:szCs w:val="21"/>
          <w:highlight w:val="none"/>
        </w:rPr>
        <w:t xml:space="preserve">二十一、资料提供：</w:t>
      </w:r>
      <w:r>
        <w:rPr>
          <w:rFonts w:hint="eastAsia" w:ascii="Arial" w:hAnsi="宋体" w:eastAsia="宋体" w:cs="Times New Roman"/>
          <w:color w:val="auto"/>
          <w:szCs w:val="21"/>
          <w:highlight w:val="none"/>
        </w:rPr>
        <w:t xml:space="preserve">合同签订一周内乙方提供施工图</w:t>
      </w:r>
      <w:r>
        <w:rPr>
          <w:rFonts w:hint="default" w:ascii="Arial" w:hAnsi="宋体" w:eastAsia="宋体" w:cs="Times New Roman"/>
          <w:color w:val="auto"/>
          <w:szCs w:val="21"/>
          <w:highlight w:val="none"/>
          <w:u w:val="single"/>
        </w:rPr>
        <w:t xml:space="preserve">      /      </w:t>
      </w:r>
      <w:r>
        <w:rPr>
          <w:rFonts w:hint="eastAsia" w:ascii="Arial" w:hAnsi="宋体" w:eastAsia="宋体" w:cs="Times New Roman"/>
          <w:color w:val="auto"/>
          <w:szCs w:val="21"/>
          <w:highlight w:val="none"/>
        </w:rPr>
        <w:t xml:space="preserve">套。</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b/>
          <w:color w:val="auto"/>
          <w:szCs w:val="21"/>
          <w:highlight w:val="none"/>
        </w:rPr>
        <w:t xml:space="preserve">二十二、技术培训：</w:t>
      </w:r>
      <w:r>
        <w:rPr>
          <w:rFonts w:hint="eastAsia" w:ascii="Arial" w:hAnsi="宋体" w:eastAsia="宋体" w:cs="Times New Roman"/>
          <w:color w:val="auto"/>
          <w:szCs w:val="21"/>
          <w:highlight w:val="none"/>
        </w:rPr>
        <w:t xml:space="preserve">甲方认为可以培训的前一周推荐培训计划、提供资料、培训后能熟练操作、了解构造原理、日常维护、排除一般故障。</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二十三、特别条款：</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、双方签约人为各自法定代表人或被授权代表。</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、本合同系指本文件及其附件中的所有部分；其中谈判文件、中标的响应文件、成交单位在谈判过程中的澄清、承诺等为本合同不可缺少的必要组成部分。</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、本合同一式陆份，甲方叁份，乙方贰份，招标代理机构壹份，各份具有同等法律效力</w:t>
      </w:r>
      <w:r>
        <w:rPr>
          <w:rFonts w:hint="eastAsia" w:ascii="Arial" w:hAnsi="Arial" w:eastAsia="宋体" w:cs="Times New Roman"/>
          <w:color w:val="auto"/>
          <w:szCs w:val="21"/>
          <w:highlight w:val="none"/>
        </w:rPr>
        <w:t xml:space="preserve">。</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二十四、其它：</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甲乙双方签字盖章后生效，合同签订后应在规定时间内报政府采购部门备案。</w:t>
      </w:r>
      <w:r/>
    </w:p>
    <w:p>
      <w:pPr>
        <w:ind w:firstLine="420"/>
        <w:jc w:val="left"/>
        <w:spacing w:line="360" w:lineRule="auto"/>
        <w:rPr>
          <w:rFonts w:hint="default" w:ascii="Arial" w:hAnsi="宋体"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本合同未尽事宜，签约双方应友好协商解决。协商不成，任何一方均可向甲方所在人民法院提起诉讼。</w:t>
      </w:r>
      <w:r/>
    </w:p>
    <w:p>
      <w:pPr>
        <w:ind w:firstLine="420"/>
        <w:jc w:val="left"/>
        <w:spacing w:line="360" w:lineRule="auto"/>
        <w:rPr>
          <w:rFonts w:hint="default" w:ascii="Arial" w:hAnsi="Arial" w:eastAsia="宋体" w:cs="Times New Roman"/>
          <w:color w:val="auto"/>
          <w:szCs w:val="21"/>
          <w:highlight w:val="none"/>
        </w:rPr>
      </w:pPr>
      <w:r>
        <w:rPr>
          <w:rFonts w:hint="default" w:ascii="Arial" w:hAnsi="宋体" w:eastAsia="宋体" w:cs="Times New Roman"/>
          <w:color w:val="auto"/>
          <w:szCs w:val="21"/>
          <w:highlight w:val="none"/>
        </w:rPr>
        <w:t xml:space="preserve">3</w:t>
      </w:r>
      <w:r>
        <w:rPr>
          <w:rFonts w:hint="eastAsia" w:ascii="Arial" w:hAnsi="宋体" w:eastAsia="宋体" w:cs="Times New Roman"/>
          <w:color w:val="auto"/>
          <w:szCs w:val="21"/>
          <w:highlight w:val="none"/>
        </w:rPr>
        <w:t xml:space="preserve">、依据《管理办法》规定享受扶持政策获得政府采购合同的，小微企业不得将合同分包给大中型企业，中型企业不得将合同分包给大型企业。</w:t>
      </w:r>
      <w:r/>
    </w:p>
    <w:p>
      <w:pPr>
        <w:ind w:firstLine="20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pStyle w:val="1092"/>
        <w:rPr>
          <w:color w:val="auto"/>
          <w:highlight w:val="none"/>
        </w:rPr>
      </w:pPr>
      <w:r>
        <w:rPr>
          <w:color w:val="auto"/>
          <w:highlight w:val="none"/>
        </w:rPr>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甲方（采购组织方）：</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甲方（使用方）：</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法定代表人（授权代表）：</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法定代表人（授权代表）：</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签约日期：</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签约日期：</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开户行：</w:t>
      </w:r>
      <w:r>
        <w:rPr>
          <w:rFonts w:hint="default" w:ascii="Arial" w:hAnsi="宋体" w:eastAsia="宋体" w:cs="Times New Roman"/>
          <w:color w:val="auto"/>
          <w:szCs w:val="21"/>
          <w:highlight w:val="none"/>
        </w:rPr>
        <w:t xml:space="preserve">                                        </w:t>
      </w:r>
      <w:r>
        <w:rPr>
          <w:rFonts w:hint="eastAsia" w:ascii="Arial" w:hAnsi="宋体" w:eastAsia="宋体" w:cs="Times New Roman"/>
          <w:color w:val="auto"/>
          <w:szCs w:val="21"/>
          <w:highlight w:val="none"/>
        </w:rPr>
        <w:t xml:space="preserve">开户行：</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帐户：</w:t>
      </w:r>
      <w:r>
        <w:rPr>
          <w:rFonts w:hint="default" w:ascii="Arial" w:hAnsi="宋体" w:eastAsia="宋体" w:cs="Times New Roman"/>
          <w:color w:val="auto"/>
          <w:szCs w:val="21"/>
          <w:highlight w:val="none"/>
        </w:rPr>
        <w:t xml:space="preserve">                                          </w:t>
      </w:r>
      <w:r>
        <w:rPr>
          <w:rFonts w:hint="eastAsia" w:ascii="Arial" w:hAnsi="宋体" w:eastAsia="宋体" w:cs="Times New Roman"/>
          <w:color w:val="auto"/>
          <w:szCs w:val="21"/>
          <w:highlight w:val="none"/>
        </w:rPr>
        <w:t xml:space="preserve">帐户：</w:t>
      </w:r>
      <w:r/>
    </w:p>
    <w:p>
      <w:pPr>
        <w:jc w:val="left"/>
        <w:spacing w:line="400" w:lineRule="exact"/>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pStyle w:val="1092"/>
        <w:rPr>
          <w:color w:val="auto"/>
          <w:highlight w:val="none"/>
        </w:rPr>
      </w:pPr>
      <w:r>
        <w:rPr>
          <w:color w:val="auto"/>
          <w:highlight w:val="none"/>
        </w:rPr>
      </w:r>
      <w:r/>
    </w:p>
    <w:p>
      <w:pPr>
        <w:pStyle w:val="1092"/>
        <w:ind w:left="0" w:firstLine="0"/>
        <w:rPr>
          <w:color w:val="auto"/>
          <w:highlight w:val="none"/>
        </w:rPr>
      </w:pPr>
      <w:r>
        <w:rPr>
          <w:color w:val="auto"/>
          <w:highlight w:val="none"/>
        </w:rPr>
      </w:r>
      <w:r/>
    </w:p>
    <w:p>
      <w:pPr>
        <w:jc w:val="left"/>
        <w:spacing w:line="400" w:lineRule="exact"/>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乙方：</w:t>
      </w:r>
      <w:r>
        <w:rPr>
          <w:rFonts w:hint="default" w:ascii="Arial" w:hAnsi="宋体" w:eastAsia="宋体" w:cs="Times New Roman"/>
          <w:color w:val="auto"/>
          <w:szCs w:val="21"/>
          <w:highlight w:val="none"/>
        </w:rPr>
        <w:t xml:space="preserve">                                              </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法定代表人（授权代表）：</w:t>
      </w:r>
      <w:r>
        <w:rPr>
          <w:rFonts w:hint="default" w:ascii="Arial" w:hAnsi="宋体" w:eastAsia="宋体" w:cs="Times New Roman"/>
          <w:color w:val="auto"/>
          <w:szCs w:val="21"/>
          <w:highlight w:val="none"/>
        </w:rPr>
        <w:t xml:space="preserve">                                     </w:t>
      </w:r>
      <w:r/>
    </w:p>
    <w:p>
      <w:pPr>
        <w:jc w:val="left"/>
        <w:spacing w:line="400" w:lineRule="exact"/>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签约日期：</w:t>
      </w:r>
      <w:r>
        <w:rPr>
          <w:rFonts w:hint="default" w:ascii="Arial" w:hAnsi="宋体" w:eastAsia="宋体" w:cs="Times New Roman"/>
          <w:color w:val="auto"/>
          <w:szCs w:val="21"/>
          <w:highlight w:val="none"/>
        </w:rPr>
        <w:t xml:space="preserve">                                                     </w:t>
      </w:r>
      <w:r/>
    </w:p>
    <w:p>
      <w:pPr>
        <w:jc w:val="left"/>
        <w:spacing w:line="400" w:lineRule="exact"/>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开户行：</w:t>
      </w:r>
      <w:r/>
    </w:p>
    <w:p>
      <w:pPr>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帐户：</w:t>
      </w:r>
      <w:r/>
    </w:p>
    <w:p>
      <w:pPr>
        <w:rPr>
          <w:rStyle w:val="995"/>
          <w:color w:val="auto"/>
          <w:sz w:val="32"/>
          <w:szCs w:val="32"/>
          <w:highlight w:val="none"/>
        </w:rPr>
      </w:pPr>
      <w:r>
        <w:rPr>
          <w:color w:val="auto"/>
          <w:sz w:val="32"/>
          <w:szCs w:val="32"/>
          <w:highlight w:val="none"/>
        </w:rPr>
      </w:r>
      <w:r/>
    </w:p>
    <w:p>
      <w:pPr>
        <w:rPr>
          <w:rStyle w:val="995"/>
          <w:rFonts w:hint="eastAsia" w:ascii="Times New Roman" w:hAnsi="Times New Roman"/>
          <w:b/>
          <w:bCs/>
          <w:color w:val="auto"/>
          <w:sz w:val="32"/>
          <w:szCs w:val="32"/>
          <w:highlight w:val="none"/>
        </w:rPr>
      </w:pPr>
      <w:r>
        <w:rPr>
          <w:rStyle w:val="995"/>
          <w:rFonts w:hint="eastAsia" w:ascii="Times New Roman" w:hAnsi="Times New Roman"/>
          <w:b/>
          <w:bCs/>
          <w:color w:val="auto"/>
          <w:sz w:val="32"/>
          <w:szCs w:val="32"/>
          <w:highlight w:val="none"/>
        </w:rPr>
        <w:br w:type="page" w:clear="all"/>
      </w:r>
      <w:r/>
    </w:p>
    <w:p>
      <w:pPr>
        <w:pStyle w:val="676"/>
        <w:jc w:val="center"/>
        <w:spacing w:line="240" w:lineRule="auto"/>
        <w:tabs>
          <w:tab w:val="left" w:pos="2754" w:leader="none"/>
          <w:tab w:val="center" w:pos="4215" w:leader="none"/>
        </w:tabs>
        <w:rPr>
          <w:rStyle w:val="995"/>
          <w:rFonts w:ascii="Times New Roman" w:hAnsi="Times New Roman"/>
          <w:b/>
          <w:bCs/>
          <w:color w:val="auto"/>
          <w:sz w:val="32"/>
          <w:szCs w:val="32"/>
          <w:highlight w:val="none"/>
        </w:rPr>
      </w:pPr>
      <w:r>
        <w:rPr>
          <w:rStyle w:val="995"/>
          <w:rFonts w:hint="eastAsia" w:ascii="Times New Roman" w:hAnsi="Times New Roman"/>
          <w:b/>
          <w:bCs/>
          <w:color w:val="auto"/>
          <w:sz w:val="32"/>
          <w:szCs w:val="32"/>
          <w:highlight w:val="none"/>
        </w:rPr>
        <w:t xml:space="preserve">第六章 评审方法</w:t>
      </w:r>
      <w:bookmarkEnd w:id="15"/>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仿宋_GB2312"/>
          <w:b w:val="0"/>
          <w:bCs w:val="0"/>
          <w:color w:val="auto"/>
          <w:szCs w:val="21"/>
          <w:highlight w:val="none"/>
          <w:lang w:val="en-US" w:eastAsia="zh-CN"/>
        </w:rPr>
        <w:t xml:space="preserve">6.</w:t>
      </w:r>
      <w:r>
        <w:rPr>
          <w:rFonts w:hint="eastAsia" w:ascii="宋体" w:hAnsi="宋体" w:eastAsia="宋体" w:cs="Times New Roman"/>
          <w:b w:val="0"/>
          <w:bCs w:val="0"/>
          <w:color w:val="auto"/>
          <w:highlight w:val="none"/>
        </w:rPr>
        <w:t xml:space="preserve">异常低价投标审查</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1.评审过程中出现下列情形之一的，评审委员会应当启动异常低价投标审查程序：</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1.1投标报价低于采购项目预算50%的，即投标报价&lt;采购项目预算×50%；</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1.2投标报价低于采购项目最高限价45%的，即投标报价&lt;采购项目最高限价×45%；</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1.3评审委员会认定的供应商报价过低、有可能影响产品质量或者不能诚信履约的其他情形。</w:t>
      </w:r>
      <w:r/>
    </w:p>
    <w:p>
      <w:pPr>
        <w:ind w:firstLine="420"/>
        <w:spacing w:line="360" w:lineRule="auto"/>
        <w:rPr>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eastAsia" w:hAnsi="宋体"/>
          <w:b/>
          <w:bCs/>
          <w:color w:val="auto"/>
          <w:szCs w:val="21"/>
          <w:highlight w:val="none"/>
        </w:rPr>
      </w:pPr>
      <w:r>
        <w:rPr>
          <w:rFonts w:hint="eastAsia" w:hAnsi="宋体"/>
          <w:color w:val="auto"/>
          <w:szCs w:val="21"/>
          <w:highlight w:val="none"/>
        </w:rPr>
        <w:t xml:space="preserve">根据《政府采购促进中小企业发展管理办法》（财库〔2020〕46号）、《苏州市政府采购促进中小企业发展实施意见》（苏财购〔2022〕16号）的相关规定，本项目为专门面向中小企业采购。如投标人所投货物制造商均认定为中型、小型或微型企业，则需根据《中小企业划型标准规定》（工信部联企业〔2011〕300号）填报《中小企业声明函》。</w:t>
      </w:r>
      <w:r>
        <w:rPr>
          <w:rFonts w:hint="eastAsia" w:hAnsi="宋体"/>
          <w:b/>
          <w:bCs/>
          <w:color w:val="auto"/>
          <w:szCs w:val="21"/>
          <w:highlight w:val="none"/>
        </w:rPr>
        <w:t xml:space="preserve">加盖公章后的《中小企业声明函》电子件放置于</w:t>
      </w:r>
      <w:r>
        <w:rPr>
          <w:rFonts w:hint="eastAsia" w:ascii="宋体" w:hAnsi="宋体"/>
          <w:b/>
          <w:color w:val="auto"/>
          <w:szCs w:val="21"/>
          <w:highlight w:val="none"/>
        </w:rPr>
        <w:t xml:space="preserve">响应文件</w:t>
      </w:r>
      <w:r>
        <w:rPr>
          <w:rFonts w:hint="eastAsia" w:hAnsi="宋体"/>
          <w:b/>
          <w:bCs/>
          <w:color w:val="auto"/>
          <w:szCs w:val="21"/>
          <w:highlight w:val="none"/>
        </w:rPr>
        <w:t xml:space="preserve">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spacing w:line="360" w:lineRule="auto"/>
        <w:rPr>
          <w:rFonts w:hint="eastAsia" w:hAnsi="宋体" w:eastAsia="宋体" w:cs="宋体"/>
          <w:b/>
          <w:bCs/>
          <w:color w:val="auto"/>
          <w:highlight w:val="none"/>
          <w:lang w:eastAsia="zh-CN"/>
        </w:rPr>
      </w:pPr>
      <w:r>
        <w:rPr>
          <w:rFonts w:hint="eastAsia" w:hAnsi="宋体" w:cs="宋体"/>
          <w:color w:val="auto"/>
          <w:highlight w:val="none"/>
        </w:rPr>
        <w:t xml:space="preserve">根据《三部门联合发布关于促进残疾人就业政府采购政策的通知》（财库〔2017〕141号）的相关规定，如投标人为残疾人福利性单位且</w:t>
      </w:r>
      <w:r>
        <w:rPr>
          <w:rFonts w:hint="eastAsia" w:hAnsi="宋体"/>
          <w:color w:val="auto"/>
          <w:szCs w:val="21"/>
          <w:highlight w:val="none"/>
        </w:rPr>
        <w:t xml:space="preserve">所投货物制造商均为</w:t>
      </w:r>
      <w:r>
        <w:rPr>
          <w:rFonts w:hint="eastAsia" w:hAnsi="宋体" w:cs="宋体"/>
          <w:color w:val="auto"/>
          <w:highlight w:val="none"/>
        </w:rPr>
        <w:t xml:space="preserve">残疾人福利性单位，则视同小型、微型企业，享受预留份额的政府采购政策。</w:t>
      </w:r>
      <w:r>
        <w:rPr>
          <w:rFonts w:hint="eastAsia" w:hAnsi="宋体" w:cs="宋体"/>
          <w:b/>
          <w:bCs/>
          <w:color w:val="auto"/>
          <w:highlight w:val="none"/>
        </w:rPr>
        <w:t xml:space="preserve">加盖公章后的《残疾人福利性单位声明函》电子件放置于</w:t>
      </w:r>
      <w:r>
        <w:rPr>
          <w:rFonts w:hint="eastAsia" w:ascii="宋体" w:hAnsi="宋体"/>
          <w:b/>
          <w:color w:val="auto"/>
          <w:szCs w:val="21"/>
          <w:highlight w:val="none"/>
        </w:rPr>
        <w:t xml:space="preserve">响应文件</w:t>
      </w:r>
      <w:r>
        <w:rPr>
          <w:rFonts w:hint="eastAsia" w:hAnsi="宋体" w:cs="宋体"/>
          <w:b/>
          <w:bCs/>
          <w:color w:val="auto"/>
          <w:highlight w:val="none"/>
        </w:rPr>
        <w:t xml:space="preserve">中提交</w:t>
      </w:r>
      <w:r>
        <w:rPr>
          <w:rFonts w:hint="eastAsia" w:hAnsi="宋体" w:cs="宋体"/>
          <w:b/>
          <w:bCs/>
          <w:color w:val="auto"/>
          <w:highlight w:val="none"/>
          <w:lang w:eastAsia="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spacing w:line="360" w:lineRule="auto"/>
        <w:rPr>
          <w:rFonts w:hint="default" w:ascii="宋体" w:hAnsi="宋体" w:eastAsia="宋体" w:cs="Times New Roman"/>
          <w:color w:val="auto"/>
          <w:szCs w:val="21"/>
          <w:highlight w:val="none"/>
        </w:rPr>
      </w:pPr>
      <w:r>
        <w:rPr>
          <w:rFonts w:hint="eastAsia" w:ascii="Times New Roman" w:hAnsi="宋体" w:eastAsia="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imes New Roman" w:hAnsi="宋体" w:eastAsia="宋体" w:cs="宋体"/>
          <w:b/>
          <w:bCs/>
          <w:color w:val="auto"/>
          <w:highlight w:val="none"/>
        </w:rPr>
        <w:t xml:space="preserve">证明文件电子件放置于</w:t>
      </w:r>
      <w:r>
        <w:rPr>
          <w:rFonts w:hint="eastAsia" w:ascii="宋体" w:hAnsi="宋体" w:eastAsia="宋体" w:cs="Times New Roman"/>
          <w:b/>
          <w:color w:val="auto"/>
          <w:szCs w:val="21"/>
          <w:highlight w:val="none"/>
        </w:rPr>
        <w:t xml:space="preserve">响应文件</w:t>
      </w:r>
      <w:r>
        <w:rPr>
          <w:rFonts w:hint="eastAsia" w:ascii="Times New Roman" w:hAnsi="宋体" w:eastAsia="宋体" w:cs="宋体"/>
          <w:b/>
          <w:bCs/>
          <w:color w:val="auto"/>
          <w:highlight w:val="none"/>
        </w:rPr>
        <w:t xml:space="preserve">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spacing w:line="360" w:lineRule="auto"/>
        <w:rPr>
          <w:rFonts w:hint="eastAsia" w:ascii="宋体" w:hAnsi="宋体" w:eastAsia="宋体" w:cs="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若本次拟采购的产品（包括清单所列的标的、配件、材料）中有属于《节能产品政府采购品目清单》政府强制采购产品的，供应商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686"/>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2072"/>
        <w:gridCol w:w="1159"/>
      </w:tblGrid>
      <w:tr>
        <w:trPr>
          <w:jc w:val="center"/>
          <w:trHeight w:val="490"/>
        </w:trPr>
        <w:tc>
          <w:tcPr>
            <w:tcBorders>
              <w:top w:val="single" w:color="auto" w:sz="4" w:space="0"/>
              <w:left w:val="single" w:color="auto" w:sz="4" w:space="0"/>
              <w:bottom w:val="single" w:color="auto" w:sz="4" w:space="0"/>
              <w:right w:val="single" w:color="auto" w:sz="4" w:space="0"/>
            </w:tcBorders>
            <w:tcW w:w="677" w:type="dxa"/>
            <w:vAlign w:val="bottom"/>
            <w:textDirection w:val="lrTb"/>
            <w:noWrap w:val="false"/>
          </w:tcPr>
          <w:p>
            <w:pPr>
              <w:jc w:val="center"/>
              <w:keepLines w:val="0"/>
              <w:keepNext w:val="0"/>
              <w:pageBreakBefore w:val="0"/>
              <w:spacing w:line="300" w:lineRule="exact"/>
              <w:widowControl w:val="off"/>
              <w:rPr>
                <w:color w:val="auto"/>
                <w:szCs w:val="21"/>
                <w:highlight w:val="none"/>
              </w:rPr>
            </w:pPr>
            <w:r/>
            <w:bookmarkStart w:id="18"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311" w:type="dxa"/>
            <w:vAlign w:val="bottom"/>
            <w:textDirection w:val="lrTb"/>
            <w:noWrap w:val="false"/>
          </w:tcPr>
          <w:p>
            <w:pPr>
              <w:jc w:val="center"/>
              <w:keepLines w:val="0"/>
              <w:keepNext w:val="0"/>
              <w:pageBreakBefore w:val="0"/>
              <w:spacing w:line="300" w:lineRule="exact"/>
              <w:widowControl w:val="off"/>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72" w:type="dxa"/>
            <w:vAlign w:val="bottom"/>
            <w:textDirection w:val="lrTb"/>
            <w:noWrap w:val="false"/>
          </w:tcPr>
          <w:p>
            <w:pPr>
              <w:jc w:val="center"/>
              <w:keepLines w:val="0"/>
              <w:keepNext w:val="0"/>
              <w:pageBreakBefore w:val="0"/>
              <w:spacing w:line="300" w:lineRule="exact"/>
              <w:widowControl w:val="off"/>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keepLines w:val="0"/>
              <w:keepNext w:val="0"/>
              <w:pageBreakBefore w:val="0"/>
              <w:spacing w:line="300" w:lineRule="exact"/>
              <w:widowControl w:val="off"/>
              <w:rPr>
                <w:color w:val="auto"/>
                <w:szCs w:val="21"/>
                <w:highlight w:val="none"/>
              </w:rPr>
            </w:pPr>
            <w:r>
              <w:rPr>
                <w:rFonts w:hint="eastAsia"/>
                <w:color w:val="auto"/>
                <w:szCs w:val="21"/>
                <w:highlight w:val="none"/>
              </w:rPr>
              <w:t xml:space="preserve">备注</w:t>
            </w:r>
            <w:r/>
          </w:p>
        </w:tc>
      </w:tr>
      <w:tr>
        <w:trPr>
          <w:jc w:val="center"/>
          <w:trHeight w:val="455"/>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r>
        <w:trPr>
          <w:jc w:val="center"/>
          <w:trHeight w:val="518"/>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tabs>
                <w:tab w:val="left" w:pos="0" w:leader="none"/>
              </w:tabs>
              <w:rPr>
                <w:color w:val="auto"/>
                <w:szCs w:val="21"/>
                <w:highlight w:val="none"/>
              </w:rPr>
            </w:pPr>
            <w:r>
              <w:rPr>
                <w:rFonts w:hint="eastAsia" w:ascii="宋体" w:hAnsi="宋体" w:cs="Arial"/>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r>
        <w:trPr>
          <w:jc w:val="center"/>
          <w:trHeight w:val="47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tabs>
                <w:tab w:val="left" w:pos="0" w:leader="none"/>
              </w:tabs>
              <w:rPr>
                <w:color w:val="auto"/>
                <w:szCs w:val="21"/>
                <w:highlight w:val="none"/>
              </w:rPr>
            </w:pPr>
            <w:r>
              <w:rPr>
                <w:rFonts w:hint="eastAsia" w:ascii="宋体" w:hAnsi="宋体" w:cs="宋体"/>
                <w:color w:val="auto"/>
                <w:szCs w:val="21"/>
                <w:highlight w:val="none"/>
                <w:lang w:val="en-US" w:eastAsia="zh-CN"/>
              </w:rPr>
              <w:t xml:space="preserve">交货期</w:t>
            </w:r>
            <w:r>
              <w:rPr>
                <w:rFonts w:hint="eastAsia" w:ascii="宋体" w:hAnsi="宋体" w:cs="宋体"/>
                <w:color w:val="auto"/>
                <w:szCs w:val="21"/>
                <w:highlight w:val="none"/>
              </w:rPr>
              <w:t xml:space="preserve">、付款</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rPr>
              <w:t xml:space="preserve">等其他综合内容承诺</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tabs>
                <w:tab w:val="left" w:pos="0" w:leader="none"/>
              </w:tabs>
              <w:rPr>
                <w:color w:val="auto"/>
                <w:szCs w:val="21"/>
                <w:highlight w:val="none"/>
              </w:rPr>
            </w:pPr>
            <w:r>
              <w:rPr>
                <w:rFonts w:hint="eastAsia"/>
                <w:color w:val="auto"/>
                <w:szCs w:val="21"/>
                <w:highlight w:val="none"/>
              </w:rPr>
              <w:t xml:space="preserve">4</w:t>
            </w:r>
            <w:bookmarkEnd w:id="18"/>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其他（除供应商资格条件及采购技术内容以外的其他涉及实质性响应谈判文件的条款内容）</w:t>
            </w:r>
            <w:r>
              <w:rPr>
                <w:rFonts w:hint="eastAsia" w:hAnsi="宋体"/>
                <w:color w:val="auto"/>
                <w:szCs w:val="21"/>
                <w:highlight w:val="none"/>
              </w:rPr>
              <w:tab/>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bl>
    <w:p>
      <w:pPr>
        <w:rPr>
          <w:color w:val="auto"/>
          <w:highlight w:val="none"/>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425" w:equalWidth="1"/>
          <w:docGrid w:linePitch="360"/>
        </w:sectPr>
      </w:pPr>
      <w:r>
        <w:rPr>
          <w:color w:val="auto"/>
          <w:highlight w:val="none"/>
        </w:rPr>
      </w:r>
      <w:r/>
    </w:p>
    <w:p>
      <w:pPr>
        <w:pStyle w:val="676"/>
        <w:jc w:val="center"/>
        <w:spacing w:line="240" w:lineRule="auto"/>
        <w:rPr>
          <w:rStyle w:val="995"/>
          <w:b/>
          <w:bCs w:val="0"/>
          <w:color w:val="auto"/>
          <w:sz w:val="32"/>
          <w:szCs w:val="32"/>
          <w:highlight w:val="none"/>
        </w:rPr>
      </w:pPr>
      <w:r/>
      <w:bookmarkStart w:id="19" w:name="_Toc166488924"/>
      <w:r>
        <w:rPr>
          <w:rStyle w:val="995"/>
          <w:rFonts w:hint="eastAsia"/>
          <w:b/>
          <w:bCs w:val="0"/>
          <w:color w:val="auto"/>
          <w:sz w:val="32"/>
          <w:szCs w:val="32"/>
          <w:highlight w:val="none"/>
        </w:rPr>
        <w:t xml:space="preserve">第七章 附件</w:t>
      </w:r>
      <w:bookmarkEnd w:id="19"/>
      <w:r/>
      <w:bookmarkStart w:id="20" w:name="gpcItem_SubmitDocStruct"/>
      <w:r/>
      <w:bookmarkEnd w:id="20"/>
      <w:r/>
      <w:r/>
    </w:p>
    <w:p>
      <w:pPr>
        <w:pStyle w:val="688"/>
        <w:ind w:firstLine="0"/>
        <w:spacing w:line="360" w:lineRule="auto"/>
        <w:rPr>
          <w:rFonts w:ascii="宋体" w:hAnsi="宋体" w:eastAsia="宋体"/>
          <w:b/>
          <w:color w:val="auto"/>
          <w:sz w:val="28"/>
          <w:szCs w:val="28"/>
          <w:highlight w:val="none"/>
        </w:rPr>
      </w:pPr>
      <w:r/>
      <w:bookmarkStart w:id="21" w:name="gpcItem_tenderStruct2"/>
      <w:r>
        <w:rPr>
          <w:rFonts w:hint="eastAsia" w:ascii="宋体" w:hAnsi="宋体" w:eastAsia="宋体"/>
          <w:b/>
          <w:color w:val="auto"/>
          <w:sz w:val="28"/>
          <w:szCs w:val="28"/>
          <w:highlight w:val="none"/>
        </w:rPr>
        <w:t xml:space="preserve">响应文档结构表</w:t>
      </w:r>
      <w:r/>
    </w:p>
    <w:tbl>
      <w:tblPr>
        <w:tblStyle w:val="686"/>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688"/>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590" w:hRule="exact"/>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hint="default"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拟投入人员一览表</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相关业绩一览表</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：服务方案</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：偏离表（技术、商务）</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688"/>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w:t>
            </w:r>
            <w:r>
              <w:rPr>
                <w:color w:val="auto"/>
                <w:szCs w:val="21"/>
                <w:highlight w:val="none"/>
              </w:rPr>
              <w:t xml:space="preserve">远程参与开标会议诚信承诺书</w:t>
            </w:r>
            <w:bookmarkEnd w:id="21"/>
            <w:r/>
            <w:r/>
          </w:p>
        </w:tc>
      </w:tr>
    </w:tbl>
    <w:p>
      <w:pPr>
        <w:pStyle w:val="688"/>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688"/>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677"/>
        <w:rPr>
          <w:rFonts w:ascii="宋体" w:hAnsi="宋体" w:eastAsia="宋体"/>
          <w:color w:val="auto"/>
          <w:sz w:val="24"/>
          <w:szCs w:val="24"/>
          <w:highlight w:val="none"/>
        </w:rPr>
      </w:pPr>
      <w:r/>
      <w:bookmarkStart w:id="22" w:name="_Toc500143975"/>
      <w:r/>
      <w:bookmarkStart w:id="23" w:name="_Toc519686649"/>
      <w:r/>
      <w:bookmarkStart w:id="24" w:name="_Ref10712456"/>
      <w:r/>
      <w:bookmarkStart w:id="25" w:name="_Ref499899149"/>
      <w:r/>
      <w:bookmarkStart w:id="26" w:name="_Toc130478801"/>
      <w:r/>
      <w:bookmarkStart w:id="27" w:name="_Toc166487075"/>
      <w:r/>
      <w:bookmarkStart w:id="28" w:name="_Ref15302730"/>
      <w:r/>
      <w:bookmarkStart w:id="29" w:name="_Toc166488925"/>
      <w:r/>
      <w:bookmarkStart w:id="30" w:name="_Toc98785116"/>
      <w:r/>
      <w:bookmarkStart w:id="31" w:name="_Ref477865927"/>
      <w:r>
        <w:rPr>
          <w:rFonts w:ascii="宋体" w:hAnsi="宋体" w:eastAsia="宋体"/>
          <w:color w:val="auto"/>
          <w:sz w:val="24"/>
          <w:szCs w:val="24"/>
          <w:highlight w:val="none"/>
        </w:rPr>
        <w:t xml:space="preserve">附件1：</w:t>
      </w:r>
      <w:bookmarkEnd w:id="22"/>
      <w:r/>
      <w:bookmarkEnd w:id="23"/>
      <w:r/>
      <w:bookmarkEnd w:id="24"/>
      <w:r/>
      <w:bookmarkEnd w:id="25"/>
      <w:r>
        <w:rPr>
          <w:rFonts w:ascii="宋体" w:hAnsi="宋体" w:eastAsia="宋体"/>
          <w:color w:val="auto"/>
          <w:sz w:val="24"/>
          <w:szCs w:val="24"/>
          <w:highlight w:val="none"/>
        </w:rPr>
        <w:t xml:space="preserve">供应商情况表</w:t>
      </w:r>
      <w:bookmarkEnd w:id="26"/>
      <w:r/>
      <w:bookmarkEnd w:id="27"/>
      <w:r/>
      <w:bookmarkEnd w:id="28"/>
      <w:r/>
      <w:bookmarkEnd w:id="29"/>
      <w:r/>
      <w:bookmarkEnd w:id="30"/>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686"/>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688"/>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688"/>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688"/>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688"/>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688"/>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068"/>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31"/>
      <w:r/>
      <w:r/>
    </w:p>
    <w:p>
      <w:pPr>
        <w:rPr>
          <w:color w:val="auto"/>
          <w:highlight w:val="none"/>
        </w:rPr>
      </w:pPr>
      <w:r/>
      <w:bookmarkStart w:id="32" w:name="_Toc519686651"/>
      <w:r/>
      <w:bookmarkStart w:id="33" w:name="_Ref507166820"/>
      <w:r/>
      <w:bookmarkStart w:id="34" w:name="_Ref15302737"/>
      <w:r/>
      <w:bookmarkStart w:id="35" w:name="_Ref376770270"/>
      <w:r/>
      <w:bookmarkStart w:id="36" w:name="_Toc500143977"/>
      <w:r/>
      <w:bookmarkStart w:id="37" w:name="_Ref477865930"/>
      <w:r/>
      <w:r/>
    </w:p>
    <w:p>
      <w:pPr>
        <w:pStyle w:val="677"/>
        <w:rPr>
          <w:rFonts w:ascii="宋体" w:hAnsi="宋体" w:eastAsia="宋体"/>
          <w:color w:val="auto"/>
          <w:sz w:val="24"/>
          <w:szCs w:val="24"/>
          <w:highlight w:val="none"/>
        </w:rPr>
      </w:pPr>
      <w:r/>
      <w:bookmarkStart w:id="38" w:name="_Toc166488926"/>
      <w:r/>
      <w:bookmarkStart w:id="39" w:name="_Ref33617519"/>
      <w:r/>
      <w:bookmarkStart w:id="40" w:name="_Toc130478802"/>
      <w:r/>
      <w:bookmarkStart w:id="41" w:name="_Toc98785117"/>
      <w:r/>
      <w:bookmarkStart w:id="42" w:name="_Toc166487076"/>
      <w:r>
        <w:rPr>
          <w:rFonts w:ascii="宋体" w:hAnsi="宋体" w:eastAsia="宋体"/>
          <w:color w:val="auto"/>
          <w:sz w:val="24"/>
          <w:szCs w:val="24"/>
          <w:highlight w:val="none"/>
        </w:rPr>
        <w:t xml:space="preserve">附件2：</w:t>
      </w:r>
      <w:bookmarkEnd w:id="32"/>
      <w:r/>
      <w:bookmarkEnd w:id="33"/>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34"/>
      <w:r/>
      <w:bookmarkEnd w:id="38"/>
      <w:r/>
      <w:bookmarkEnd w:id="39"/>
      <w:r/>
      <w:bookmarkEnd w:id="40"/>
      <w:r/>
      <w:bookmarkEnd w:id="41"/>
      <w:r/>
      <w:bookmarkEnd w:id="4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hint="eastAsia"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35"/>
      <w:bookmarkEnd w:id="36"/>
      <w:bookmarkEnd w:id="37"/>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3" w:name="_Toc130478803"/>
      <w:r/>
      <w:bookmarkStart w:id="44" w:name="_Toc98785119"/>
      <w:r/>
      <w:bookmarkStart w:id="45" w:name="_Ref33617527"/>
      <w:r>
        <w:rPr>
          <w:rFonts w:ascii="宋体" w:hAnsi="宋体"/>
          <w:color w:val="auto"/>
          <w:sz w:val="24"/>
          <w:highlight w:val="none"/>
        </w:rPr>
        <w:br w:type="page" w:clear="all"/>
      </w:r>
      <w:r/>
    </w:p>
    <w:p>
      <w:pPr>
        <w:pStyle w:val="677"/>
        <w:rPr>
          <w:rFonts w:ascii="宋体" w:hAnsi="宋体" w:eastAsia="宋体"/>
          <w:color w:val="auto"/>
          <w:sz w:val="24"/>
          <w:szCs w:val="24"/>
          <w:highlight w:val="none"/>
        </w:rPr>
      </w:pPr>
      <w:r/>
      <w:bookmarkStart w:id="46" w:name="_Toc166487077"/>
      <w:r/>
      <w:bookmarkStart w:id="47" w:name="_Toc16648892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43"/>
      <w:r/>
      <w:bookmarkEnd w:id="44"/>
      <w:r/>
      <w:bookmarkEnd w:id="45"/>
      <w:r/>
      <w:bookmarkEnd w:id="46"/>
      <w:r/>
      <w:bookmarkEnd w:id="47"/>
      <w:r/>
      <w:r/>
    </w:p>
    <w:p>
      <w:pPr>
        <w:ind w:right="-210"/>
        <w:jc w:val="center"/>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中小企业声明函</w:t>
      </w:r>
      <w:r/>
    </w:p>
    <w:p>
      <w:pPr>
        <w:rPr>
          <w:color w:val="auto"/>
          <w:highlight w:val="none"/>
        </w:rPr>
      </w:pPr>
      <w:r>
        <w:rPr>
          <w:color w:val="auto"/>
          <w:highlight w:val="none"/>
        </w:rPr>
      </w:r>
      <w:r/>
    </w:p>
    <w:p>
      <w:pPr>
        <w:pStyle w:val="1063"/>
        <w:spacing w:line="360" w:lineRule="auto"/>
        <w:rPr>
          <w:rFonts w:hint="default" w:hAnsi="宋体" w:eastAsia="宋体" w:cs="宋体"/>
          <w:color w:val="auto"/>
          <w:sz w:val="21"/>
          <w:szCs w:val="21"/>
          <w:highlight w:val="none"/>
          <w:lang w:val="zh-CN"/>
        </w:rPr>
      </w:pPr>
      <w:r>
        <w:rPr>
          <w:rFonts w:hAnsi="宋体" w:eastAsia="宋体" w:cs="宋体"/>
          <w:color w:val="auto"/>
          <w:sz w:val="21"/>
          <w:szCs w:val="21"/>
          <w:highlight w:val="none"/>
          <w:lang w:val="zh-CN"/>
        </w:rPr>
        <w:t xml:space="preserve">______________________：</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本公司（联合体）郑重声明，根据《政府采购促进中小企业发展管理办法》（财库[20</w:t>
      </w:r>
      <w:r>
        <w:rPr>
          <w:rFonts w:hint="default" w:ascii="宋体" w:hAnsi="宋体" w:eastAsia="宋体" w:cs="Times New Roman"/>
          <w:color w:val="auto"/>
          <w:sz w:val="21"/>
          <w:szCs w:val="21"/>
          <w:highlight w:val="none"/>
        </w:rPr>
        <w:t xml:space="preserve">20</w:t>
      </w: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46</w:t>
      </w:r>
      <w:r>
        <w:rPr>
          <w:rFonts w:hint="eastAsia" w:ascii="宋体" w:hAnsi="宋体" w:eastAsia="宋体" w:cs="Times New Roman"/>
          <w:color w:val="auto"/>
          <w:sz w:val="21"/>
          <w:szCs w:val="21"/>
          <w:highlight w:val="none"/>
        </w:rPr>
        <w:t xml:space="preserve">号）的规定，本公司参加</w:t>
      </w:r>
      <w:r>
        <w:rPr>
          <w:rFonts w:hint="eastAsia" w:ascii="宋体" w:hAnsi="宋体" w:eastAsia="宋体" w:cs="Times New Roman"/>
          <w:i/>
          <w:iCs/>
          <w:color w:val="auto"/>
          <w:sz w:val="21"/>
          <w:szCs w:val="21"/>
          <w:highlight w:val="none"/>
          <w:u w:val="single"/>
        </w:rPr>
        <w:t xml:space="preserve">（单位名称）</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i/>
          <w:iCs/>
          <w:color w:val="auto"/>
          <w:sz w:val="21"/>
          <w:szCs w:val="21"/>
          <w:highlight w:val="none"/>
          <w:u w:val="single"/>
        </w:rPr>
        <w:t xml:space="preserve">（项目名称）</w:t>
      </w:r>
      <w:r>
        <w:rPr>
          <w:rFonts w:hint="eastAsia" w:ascii="宋体" w:hAnsi="宋体" w:eastAsia="宋体" w:cs="Times New Roman"/>
          <w:color w:val="auto"/>
          <w:sz w:val="21"/>
          <w:szCs w:val="21"/>
          <w:highlight w:val="none"/>
        </w:rPr>
        <w:t xml:space="preserve">采购活动，提供的货物全部由符合政策要求的中小企业制造。相关企业（含联合体中的中小企业、签订分包意向协议的中小企业）的具体情况如下：</w:t>
      </w:r>
      <w:r>
        <w:rPr>
          <w:rFonts w:hint="default" w:ascii="宋体" w:hAnsi="宋体" w:eastAsia="宋体" w:cs="Times New Roman"/>
          <w:color w:val="auto"/>
          <w:sz w:val="21"/>
          <w:szCs w:val="21"/>
          <w:highlight w:val="none"/>
        </w:rPr>
        <w:t xml:space="preserve"> </w:t>
      </w:r>
      <w:r/>
    </w:p>
    <w:p>
      <w:pPr>
        <w:ind w:firstLine="420"/>
        <w:spacing w:line="360" w:lineRule="auto"/>
        <w:rPr>
          <w:rFonts w:hint="default" w:ascii="宋体" w:hAnsi="宋体" w:eastAsia="宋体" w:cs="Times New Roman"/>
          <w:color w:val="auto"/>
          <w:highlight w:val="none"/>
        </w:rPr>
      </w:pPr>
      <w:r>
        <w:rPr>
          <w:rFonts w:hint="default" w:ascii="宋体" w:hAnsi="宋体" w:eastAsia="宋体" w:cs="Times New Roman"/>
          <w:color w:val="auto"/>
          <w:szCs w:val="21"/>
          <w:highlight w:val="none"/>
        </w:rPr>
        <w:t xml:space="preserve">1.</w:t>
      </w:r>
      <w:r>
        <w:rPr>
          <w:rFonts w:hint="default" w:ascii="宋体" w:hAnsi="宋体" w:eastAsia="宋体" w:cs="Times New Roman"/>
          <w:i/>
          <w:iCs/>
          <w:color w:val="auto"/>
          <w:highlight w:val="none"/>
          <w:u w:val="single"/>
        </w:rPr>
        <w:t xml:space="preserve">（标的名称）</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w:t>
      </w:r>
      <w:r>
        <w:rPr>
          <w:rFonts w:hint="eastAsia" w:ascii="宋体" w:hAnsi="宋体" w:eastAsia="宋体" w:cs="Times New Roman"/>
          <w:i/>
          <w:iCs/>
          <w:color w:val="auto"/>
          <w:highlight w:val="none"/>
          <w:u w:val="single"/>
        </w:rPr>
        <w:t xml:space="preserve">招标文件</w:t>
      </w:r>
      <w:r>
        <w:rPr>
          <w:rFonts w:hint="default" w:ascii="宋体" w:hAnsi="宋体" w:eastAsia="宋体" w:cs="Times New Roman"/>
          <w:i/>
          <w:iCs/>
          <w:color w:val="auto"/>
          <w:highlight w:val="none"/>
          <w:u w:val="single"/>
        </w:rPr>
        <w:t xml:space="preserve">中明确的所属行业）</w:t>
      </w:r>
      <w:r>
        <w:rPr>
          <w:rFonts w:hint="default" w:ascii="宋体" w:hAnsi="宋体" w:eastAsia="宋体" w:cs="Times New Roman"/>
          <w:i/>
          <w:iCs/>
          <w:color w:val="auto"/>
          <w:highlight w:val="none"/>
        </w:rPr>
        <w:t xml:space="preserve"> </w:t>
      </w:r>
      <w:r>
        <w:rPr>
          <w:rFonts w:hint="default" w:ascii="宋体" w:hAnsi="宋体" w:eastAsia="宋体" w:cs="Times New Roman"/>
          <w:color w:val="auto"/>
          <w:highlight w:val="none"/>
        </w:rPr>
        <w:t xml:space="preserve">行业；制造商为</w:t>
      </w:r>
      <w:r>
        <w:rPr>
          <w:rFonts w:hint="default" w:ascii="宋体" w:hAnsi="宋体" w:eastAsia="宋体" w:cs="Times New Roman"/>
          <w:i/>
          <w:iCs/>
          <w:color w:val="auto"/>
          <w:highlight w:val="none"/>
          <w:u w:val="single"/>
        </w:rPr>
        <w:t xml:space="preserve">（企业名称）</w:t>
      </w:r>
      <w:r>
        <w:rPr>
          <w:rFonts w:hint="default" w:ascii="宋体" w:hAnsi="宋体" w:eastAsia="宋体" w:cs="Times New Roman"/>
          <w:color w:val="auto"/>
          <w:highlight w:val="none"/>
        </w:rPr>
        <w:t xml:space="preserve">，从业人员</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人，营业收入为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万元，资产总额为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（中型企业、小 型企业、微型企业）</w:t>
      </w:r>
      <w:r>
        <w:rPr>
          <w:rFonts w:hint="default" w:ascii="宋体" w:hAnsi="宋体" w:eastAsia="宋体" w:cs="Times New Roman"/>
          <w:color w:val="auto"/>
          <w:highlight w:val="none"/>
        </w:rPr>
        <w:t xml:space="preserve">；</w:t>
      </w:r>
      <w:r/>
    </w:p>
    <w:p>
      <w:pPr>
        <w:ind w:firstLine="420"/>
        <w:spacing w:line="360" w:lineRule="auto"/>
        <w:rPr>
          <w:rFonts w:hint="default" w:ascii="宋体" w:hAnsi="宋体" w:eastAsia="宋体" w:cs="Times New Roman"/>
          <w:color w:val="auto"/>
          <w:highlight w:val="none"/>
        </w:rPr>
      </w:pPr>
      <w:r>
        <w:rPr>
          <w:rFonts w:hint="default" w:ascii="宋体" w:hAnsi="宋体" w:eastAsia="宋体" w:cs="Times New Roman"/>
          <w:color w:val="auto"/>
          <w:szCs w:val="21"/>
          <w:highlight w:val="none"/>
        </w:rPr>
        <w:t xml:space="preserve">2.</w:t>
      </w:r>
      <w:r>
        <w:rPr>
          <w:rFonts w:hint="default" w:ascii="宋体" w:hAnsi="宋体" w:eastAsia="宋体" w:cs="Times New Roman"/>
          <w:i/>
          <w:iCs/>
          <w:color w:val="auto"/>
          <w:highlight w:val="none"/>
          <w:u w:val="single"/>
        </w:rPr>
        <w:t xml:space="preserve">（标的名称）</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w:t>
      </w:r>
      <w:r>
        <w:rPr>
          <w:rFonts w:hint="eastAsia" w:ascii="宋体" w:hAnsi="宋体" w:eastAsia="宋体" w:cs="Times New Roman"/>
          <w:i/>
          <w:iCs/>
          <w:color w:val="auto"/>
          <w:highlight w:val="none"/>
          <w:u w:val="single"/>
        </w:rPr>
        <w:t xml:space="preserve">招标文件</w:t>
      </w:r>
      <w:r>
        <w:rPr>
          <w:rFonts w:hint="default" w:ascii="宋体" w:hAnsi="宋体" w:eastAsia="宋体" w:cs="Times New Roman"/>
          <w:i/>
          <w:iCs/>
          <w:color w:val="auto"/>
          <w:highlight w:val="none"/>
          <w:u w:val="single"/>
        </w:rPr>
        <w:t xml:space="preserve">中明确的所属行业）</w:t>
      </w:r>
      <w:r>
        <w:rPr>
          <w:rFonts w:hint="default" w:ascii="宋体" w:hAnsi="宋体" w:eastAsia="宋体" w:cs="Times New Roman"/>
          <w:i/>
          <w:iCs/>
          <w:color w:val="auto"/>
          <w:highlight w:val="none"/>
        </w:rPr>
        <w:t xml:space="preserve"> </w:t>
      </w:r>
      <w:r>
        <w:rPr>
          <w:rFonts w:hint="default" w:ascii="宋体" w:hAnsi="宋体" w:eastAsia="宋体" w:cs="Times New Roman"/>
          <w:color w:val="auto"/>
          <w:highlight w:val="none"/>
        </w:rPr>
        <w:t xml:space="preserve">行业；制造商为</w:t>
      </w:r>
      <w:r>
        <w:rPr>
          <w:rFonts w:hint="default" w:ascii="宋体" w:hAnsi="宋体" w:eastAsia="宋体" w:cs="Times New Roman"/>
          <w:i/>
          <w:iCs/>
          <w:color w:val="auto"/>
          <w:highlight w:val="none"/>
          <w:u w:val="single"/>
        </w:rPr>
        <w:t xml:space="preserve">（企业名称）</w:t>
      </w:r>
      <w:r>
        <w:rPr>
          <w:rFonts w:hint="default" w:ascii="宋体" w:hAnsi="宋体" w:eastAsia="宋体" w:cs="Times New Roman"/>
          <w:color w:val="auto"/>
          <w:highlight w:val="none"/>
        </w:rPr>
        <w:t xml:space="preserve">，从业人员</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人，营业收入为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万元，资产总额为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（中型企业、小 型企业、微型企业）</w:t>
      </w:r>
      <w:r>
        <w:rPr>
          <w:rFonts w:hint="default" w:ascii="宋体" w:hAnsi="宋体" w:eastAsia="宋体" w:cs="Times New Roman"/>
          <w:color w:val="auto"/>
          <w:highlight w:val="none"/>
        </w:rPr>
        <w:t xml:space="preserve">；</w:t>
      </w:r>
      <w:r/>
    </w:p>
    <w:p>
      <w:pPr>
        <w:ind w:firstLine="420"/>
        <w:spacing w:line="360" w:lineRule="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本企业对上述声明内容的真实性负责。如有虚假，将依法承担相应责任。</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default"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从业人员、营业收入、资产总额填报上一年度数据，无上一年度数据的新成立企业可不填报。</w:t>
      </w:r>
      <w:r/>
    </w:p>
    <w:p>
      <w:pPr>
        <w:ind w:firstLine="420"/>
        <w:jc w:val="both"/>
        <w:spacing w:line="360" w:lineRule="auto"/>
        <w:widowControl w:val="off"/>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t xml:space="preserve">2.</w:t>
      </w:r>
      <w:r>
        <w:rPr>
          <w:rFonts w:hint="eastAsia" w:ascii="宋体" w:hAnsi="宋体" w:eastAsia="宋体" w:cs="Times New Roman"/>
          <w:bCs/>
          <w:color w:val="auto"/>
          <w:sz w:val="21"/>
          <w:szCs w:val="21"/>
          <w:highlight w:val="none"/>
        </w:rPr>
        <w:t xml:space="preserve">本次采购项目所属行业为</w:t>
      </w:r>
      <w:r>
        <w:rPr>
          <w:rFonts w:hint="eastAsia" w:ascii="宋体" w:hAnsi="宋体" w:eastAsia="宋体" w:cs="Times New Roman"/>
          <w:b/>
          <w:bCs/>
          <w:color w:val="auto"/>
          <w:sz w:val="21"/>
          <w:szCs w:val="21"/>
          <w:highlight w:val="none"/>
        </w:rPr>
        <w:t xml:space="preserve">工业</w:t>
      </w:r>
      <w:r>
        <w:rPr>
          <w:rFonts w:hint="eastAsia" w:ascii="宋体" w:hAnsi="宋体" w:eastAsia="宋体" w:cs="Times New Roman"/>
          <w:bCs/>
          <w:color w:val="auto"/>
          <w:sz w:val="21"/>
          <w:szCs w:val="21"/>
          <w:highlight w:val="none"/>
        </w:rPr>
        <w:t xml:space="preserve">，中小微企业划分标准请根据《中小企业划型标准规定》（工信部联企业﹝2</w:t>
      </w:r>
      <w:r>
        <w:rPr>
          <w:rFonts w:hint="default" w:ascii="宋体" w:hAnsi="宋体" w:eastAsia="宋体" w:cs="Times New Roman"/>
          <w:bCs/>
          <w:color w:val="auto"/>
          <w:sz w:val="21"/>
          <w:szCs w:val="21"/>
          <w:highlight w:val="none"/>
        </w:rPr>
        <w:t xml:space="preserve">011</w:t>
      </w:r>
      <w:r>
        <w:rPr>
          <w:rFonts w:hint="eastAsia" w:ascii="宋体" w:hAnsi="宋体" w:eastAsia="宋体" w:cs="Times New Roman"/>
          <w:bCs/>
          <w:color w:val="auto"/>
          <w:sz w:val="21"/>
          <w:szCs w:val="21"/>
          <w:highlight w:val="none"/>
        </w:rPr>
        <w:t xml:space="preserve">﹞</w:t>
      </w:r>
      <w:r>
        <w:rPr>
          <w:rFonts w:hint="default" w:ascii="宋体" w:hAnsi="宋体" w:eastAsia="宋体" w:cs="Times New Roman"/>
          <w:bCs/>
          <w:color w:val="auto"/>
          <w:sz w:val="21"/>
          <w:szCs w:val="21"/>
          <w:highlight w:val="none"/>
        </w:rPr>
        <w:t xml:space="preserve">300</w:t>
      </w:r>
      <w:r>
        <w:rPr>
          <w:rFonts w:hint="eastAsia" w:ascii="宋体" w:hAnsi="宋体" w:eastAsia="宋体" w:cs="Times New Roman"/>
          <w:bCs/>
          <w:color w:val="auto"/>
          <w:sz w:val="21"/>
          <w:szCs w:val="21"/>
          <w:highlight w:val="none"/>
        </w:rPr>
        <w:t xml:space="preserve">号文）。</w:t>
      </w:r>
      <w:r/>
    </w:p>
    <w:p>
      <w:pPr>
        <w:pStyle w:val="1068"/>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8" w:name="_Toc98785120"/>
      <w:r/>
      <w:bookmarkStart w:id="49" w:name="_Ref33617531"/>
      <w:r/>
      <w:bookmarkStart w:id="50" w:name="_Toc130478804"/>
      <w:r>
        <w:rPr>
          <w:rFonts w:ascii="宋体" w:hAnsi="宋体"/>
          <w:color w:val="auto"/>
          <w:sz w:val="24"/>
          <w:highlight w:val="none"/>
        </w:rPr>
        <w:br w:type="page" w:clear="all"/>
      </w:r>
      <w:r/>
    </w:p>
    <w:p>
      <w:pPr>
        <w:pStyle w:val="677"/>
        <w:rPr>
          <w:rFonts w:ascii="宋体" w:hAnsi="宋体" w:eastAsia="宋体"/>
          <w:color w:val="auto"/>
          <w:sz w:val="24"/>
          <w:szCs w:val="24"/>
          <w:highlight w:val="none"/>
        </w:rPr>
      </w:pPr>
      <w:r/>
      <w:bookmarkStart w:id="51" w:name="_Toc166487078"/>
      <w:r/>
      <w:bookmarkStart w:id="52" w:name="_Toc16648892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48"/>
      <w:r/>
      <w:bookmarkEnd w:id="49"/>
      <w:r/>
      <w:bookmarkEnd w:id="50"/>
      <w:r/>
      <w:bookmarkEnd w:id="51"/>
      <w:r/>
      <w:bookmarkEnd w:id="52"/>
      <w:r/>
      <w:r/>
    </w:p>
    <w:p>
      <w:pPr>
        <w:pStyle w:val="1066"/>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06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6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064"/>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677"/>
        <w:rPr>
          <w:rFonts w:ascii="宋体" w:hAnsi="宋体" w:eastAsia="宋体"/>
          <w:color w:val="auto"/>
          <w:sz w:val="24"/>
          <w:szCs w:val="24"/>
          <w:highlight w:val="none"/>
        </w:rPr>
      </w:pPr>
      <w:r/>
      <w:bookmarkStart w:id="53" w:name="_Toc130478805"/>
      <w:r/>
      <w:bookmarkStart w:id="54" w:name="_Toc98785121"/>
      <w:r/>
      <w:bookmarkStart w:id="55" w:name="_Toc166488929"/>
      <w:r/>
      <w:bookmarkStart w:id="56" w:name="_Ref33617535"/>
      <w:r/>
      <w:bookmarkStart w:id="57" w:name="_Toc166487079"/>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53"/>
      <w:r/>
      <w:bookmarkEnd w:id="54"/>
      <w:r/>
      <w:bookmarkEnd w:id="55"/>
      <w:r/>
      <w:bookmarkEnd w:id="56"/>
      <w:r/>
      <w:bookmarkEnd w:id="57"/>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8" w:name="_Toc519686653"/>
      <w:r/>
      <w:bookmarkStart w:id="59" w:name="_Ref376770274"/>
      <w:r/>
      <w:bookmarkStart w:id="60" w:name="_Toc500143978"/>
      <w:r/>
      <w:bookmarkStart w:id="61" w:name="_Toc130478806"/>
      <w:r/>
      <w:bookmarkStart w:id="62" w:name="_Ref15302750"/>
      <w:r/>
      <w:bookmarkStart w:id="63" w:name="_Toc98785122"/>
      <w:r>
        <w:rPr>
          <w:rFonts w:ascii="宋体" w:hAnsi="宋体"/>
          <w:color w:val="auto"/>
          <w:sz w:val="24"/>
          <w:highlight w:val="none"/>
        </w:rPr>
        <w:br w:type="page" w:clear="all"/>
      </w:r>
      <w:r/>
    </w:p>
    <w:p>
      <w:pPr>
        <w:pStyle w:val="677"/>
        <w:rPr>
          <w:rFonts w:ascii="宋体" w:hAnsi="宋体" w:eastAsia="宋体"/>
          <w:color w:val="auto"/>
          <w:sz w:val="24"/>
          <w:szCs w:val="24"/>
          <w:highlight w:val="none"/>
        </w:rPr>
      </w:pPr>
      <w:r/>
      <w:bookmarkStart w:id="64" w:name="_Toc166488930"/>
      <w:r/>
      <w:bookmarkStart w:id="65" w:name="_Toc16648708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58"/>
      <w:r/>
      <w:bookmarkEnd w:id="59"/>
      <w:r/>
      <w:bookmarkEnd w:id="60"/>
      <w:r>
        <w:rPr>
          <w:rFonts w:ascii="宋体" w:hAnsi="宋体" w:eastAsia="宋体"/>
          <w:color w:val="auto"/>
          <w:sz w:val="24"/>
          <w:szCs w:val="24"/>
          <w:highlight w:val="none"/>
        </w:rPr>
        <w:t xml:space="preserve">开标一览表</w:t>
      </w:r>
      <w:bookmarkEnd w:id="61"/>
      <w:r/>
      <w:bookmarkEnd w:id="62"/>
      <w:r/>
      <w:bookmarkEnd w:id="63"/>
      <w:r/>
      <w:bookmarkEnd w:id="64"/>
      <w:r/>
      <w:bookmarkEnd w:id="65"/>
      <w:r/>
      <w:r/>
    </w:p>
    <w:p>
      <w:pPr>
        <w:jc w:val="center"/>
        <w:rPr>
          <w:b/>
          <w:color w:val="auto"/>
          <w:highlight w:val="none"/>
        </w:rPr>
      </w:pPr>
      <w:r>
        <w:rPr>
          <w:b/>
          <w:color w:val="auto"/>
          <w:highlight w:val="none"/>
        </w:rPr>
      </w:r>
      <w:r/>
    </w:p>
    <w:p>
      <w:pPr>
        <w:jc w:val="center"/>
        <w:rPr>
          <w:b/>
          <w:color w:val="auto"/>
          <w:highlight w:val="none"/>
        </w:rPr>
      </w:pPr>
      <w:r>
        <w:rPr>
          <w:rFonts w:hint="eastAsia"/>
          <w:b/>
          <w:color w:val="auto"/>
          <w:highlight w:val="none"/>
        </w:rPr>
        <w:t xml:space="preserve">开标一览表</w:t>
      </w:r>
      <w:r/>
    </w:p>
    <w:p>
      <w:pPr>
        <w:jc w:val="center"/>
        <w:rPr>
          <w:b/>
          <w:color w:val="auto"/>
          <w:highlight w:val="none"/>
        </w:rPr>
      </w:pPr>
      <w:r>
        <w:rPr>
          <w:b/>
          <w:color w:val="auto"/>
          <w:highlight w:val="none"/>
        </w:rPr>
      </w:r>
      <w:r/>
    </w:p>
    <w:p>
      <w:pPr>
        <w:pStyle w:val="725"/>
        <w:keepLines w:val="0"/>
        <w:keepNext w:val="0"/>
        <w:widowControl/>
        <w:rPr>
          <w:color w:val="auto"/>
          <w:highlight w:val="none"/>
        </w:rPr>
        <w:suppressLineNumbers w:val="0"/>
      </w:pPr>
      <w:r>
        <w:rPr>
          <w:color w:val="auto"/>
          <w:highlight w:val="none"/>
        </w:rPr>
        <w:t xml:space="preserve">项目编号：项目编号 </w:t>
      </w:r>
      <w:r/>
    </w:p>
    <w:p>
      <w:pPr>
        <w:pStyle w:val="725"/>
        <w:keepLines w:val="0"/>
        <w:keepNext w:val="0"/>
        <w:widowControl/>
        <w:rPr>
          <w:color w:val="auto"/>
          <w:highlight w:val="none"/>
        </w:rPr>
        <w:suppressLineNumbers w:val="0"/>
      </w:pPr>
      <w:r>
        <w:rPr>
          <w:color w:val="auto"/>
          <w:highlight w:val="none"/>
        </w:rPr>
        <w:t xml:space="preserve">本次为首次报价</w:t>
      </w:r>
      <w:r/>
    </w:p>
    <w:p>
      <w:pPr>
        <w:pStyle w:val="725"/>
        <w:keepLines w:val="0"/>
        <w:keepNext w:val="0"/>
        <w:widowControl/>
        <w:rPr>
          <w:color w:val="auto"/>
          <w:highlight w:val="none"/>
        </w:rPr>
        <w:suppressLineNumbers w:val="0"/>
      </w:pPr>
      <w:r>
        <w:rPr>
          <w:color w:val="auto"/>
          <w:highlight w:val="none"/>
        </w:rPr>
        <w:t xml:space="preserve">货币单位：人民币元</w:t>
      </w:r>
      <w:r/>
    </w:p>
    <w:tbl>
      <w:tblPr>
        <w:tblStyle w:val="686"/>
        <w:tblW w:w="903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项目名称</w:t>
            </w:r>
            <w:r/>
          </w:p>
        </w:tc>
        <w:tc>
          <w:tcPr>
            <w:shd w:val="clear" w:color="auto" w:fill="auto"/>
            <w:tcW w:w="2403"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项目内容</w:t>
            </w:r>
            <w:r/>
          </w:p>
        </w:tc>
        <w:tc>
          <w:tcPr>
            <w:shd w:val="clear" w:color="auto" w:fill="auto"/>
            <w:tcW w:w="2082"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报价（小写）</w:t>
            </w:r>
            <w:r/>
          </w:p>
        </w:tc>
        <w:tc>
          <w:tcPr>
            <w:shd w:val="clear" w:color="auto" w:fill="auto"/>
            <w:tcW w:w="1515"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备注</w:t>
            </w:r>
            <w:r/>
          </w:p>
        </w:tc>
      </w:tr>
      <w:tr>
        <w:trPr>
          <w:tblCellSpacing w:w="15" w:type="dxa"/>
        </w:trPr>
        <w:tc>
          <w:tcPr>
            <w:shd w:val="clear" w:color="auto" w:fill="auto"/>
            <w:tcW w:w="2881"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项目名称 </w:t>
            </w:r>
            <w:r/>
          </w:p>
        </w:tc>
        <w:tc>
          <w:tcPr>
            <w:shd w:val="clear" w:color="auto" w:fill="auto"/>
            <w:tcW w:w="2403"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详见《谈判文件》</w:t>
            </w:r>
            <w:r/>
          </w:p>
        </w:tc>
        <w:tc>
          <w:tcPr>
            <w:shd w:val="clear" w:color="auto" w:fill="auto"/>
            <w:tcW w:w="2082" w:type="dxa"/>
            <w:vAlign w:val="center"/>
            <w:textDirection w:val="lrTb"/>
            <w:noWrap w:val="false"/>
          </w:tcPr>
          <w:p>
            <w:pPr>
              <w:pStyle w:val="725"/>
              <w:keepLines w:val="0"/>
              <w:keepNext w:val="0"/>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c>
          <w:tcPr>
            <w:shd w:val="clear" w:color="auto" w:fill="auto"/>
            <w:tcW w:w="1515"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 </w:t>
            </w:r>
            <w:r/>
          </w:p>
        </w:tc>
      </w:tr>
      <w:tr>
        <w:trPr>
          <w:tblCellSpacing w:w="15" w:type="dxa"/>
        </w:trPr>
        <w:tc>
          <w:tcPr>
            <w:shd w:val="clear" w:color="auto" w:fill="auto"/>
            <w:tcW w:w="2881"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报价（大写）：</w:t>
            </w:r>
            <w:r/>
          </w:p>
        </w:tc>
        <w:tc>
          <w:tcPr>
            <w:gridSpan w:val="3"/>
            <w:shd w:val="clear" w:color="auto" w:fill="auto"/>
            <w:tcW w:w="6060" w:type="dxa"/>
            <w:vAlign w:val="center"/>
            <w:textDirection w:val="lrTb"/>
            <w:noWrap w:val="false"/>
          </w:tcPr>
          <w:p>
            <w:pPr>
              <w:pStyle w:val="725"/>
              <w:keepLines w:val="0"/>
              <w:keepNext w:val="0"/>
              <w:widowControl/>
              <w:rPr>
                <w:color w:val="auto"/>
                <w:highlight w:val="none"/>
              </w:rPr>
              <w:suppressLineNumbers w:val="0"/>
            </w:pPr>
            <w:r>
              <w:rPr>
                <w:color w:val="auto"/>
                <w:highlight w:val="none"/>
              </w:rPr>
              <w:t xml:space="preserve">金额大写 </w:t>
            </w:r>
            <w:r/>
          </w:p>
        </w:tc>
      </w:tr>
    </w:tbl>
    <w:p>
      <w:pPr>
        <w:pStyle w:val="725"/>
        <w:keepLines w:val="0"/>
        <w:keepNext w:val="0"/>
        <w:widowControl/>
        <w:rPr>
          <w:color w:val="auto"/>
          <w:highlight w:val="none"/>
        </w:rPr>
        <w:suppressLineNumbers w:val="0"/>
      </w:pPr>
      <w:r>
        <w:rPr>
          <w:color w:val="auto"/>
          <w:highlight w:val="none"/>
        </w:rPr>
        <w:t xml:space="preserve"> </w:t>
      </w:r>
      <w:r/>
    </w:p>
    <w:p>
      <w:pPr>
        <w:pStyle w:val="725"/>
        <w:keepLines w:val="0"/>
        <w:keepNext w:val="0"/>
        <w:widowControl/>
        <w:rPr>
          <w:color w:val="auto"/>
          <w:highlight w:val="none"/>
        </w:rPr>
        <w:suppressLineNumbers w:val="0"/>
      </w:pPr>
      <w:r>
        <w:rPr>
          <w:color w:val="auto"/>
          <w:highlight w:val="none"/>
        </w:rPr>
        <w:t xml:space="preserve">供应商报价说明：</w:t>
      </w:r>
      <w:r/>
    </w:p>
    <w:p>
      <w:pPr>
        <w:pStyle w:val="725"/>
        <w:keepLines w:val="0"/>
        <w:keepNext w:val="0"/>
        <w:widowControl/>
        <w:rPr>
          <w:color w:val="auto"/>
          <w:highlight w:val="none"/>
        </w:rPr>
        <w:suppressLineNumbers w:val="0"/>
      </w:pPr>
      <w:r>
        <w:rPr>
          <w:color w:val="auto"/>
          <w:highlight w:val="none"/>
        </w:rPr>
        <w:t xml:space="preserve">1、采购人不需再支付报价以外的任何费用。</w:t>
      </w:r>
      <w:r/>
    </w:p>
    <w:p>
      <w:pPr>
        <w:pStyle w:val="725"/>
        <w:keepLines w:val="0"/>
        <w:keepNext w:val="0"/>
        <w:widowControl/>
        <w:rPr>
          <w:color w:val="auto"/>
          <w:highlight w:val="none"/>
        </w:rPr>
        <w:suppressLineNumbers w:val="0"/>
      </w:pPr>
      <w:r>
        <w:rPr>
          <w:color w:val="auto"/>
          <w:highlight w:val="none"/>
        </w:rPr>
        <w:t xml:space="preserve">2、偏离说明：详见《偏离表》。</w:t>
      </w:r>
      <w:r/>
    </w:p>
    <w:p>
      <w:pPr>
        <w:pStyle w:val="725"/>
        <w:keepLines w:val="0"/>
        <w:keepNext w:val="0"/>
        <w:widowControl/>
        <w:rPr>
          <w:color w:val="auto"/>
          <w:highlight w:val="none"/>
        </w:rPr>
        <w:suppressLineNumbers w:val="0"/>
      </w:pPr>
      <w:r>
        <w:rPr>
          <w:color w:val="auto"/>
          <w:highlight w:val="none"/>
        </w:rPr>
        <w:t xml:space="preserve">3、报价大小写不一致以大写为准。</w:t>
      </w:r>
      <w:r/>
    </w:p>
    <w:p>
      <w:pPr>
        <w:pStyle w:val="725"/>
        <w:keepLines w:val="0"/>
        <w:keepNext w:val="0"/>
        <w:widowControl/>
        <w:rPr>
          <w:color w:val="auto"/>
          <w:highlight w:val="none"/>
        </w:rPr>
        <w:suppressLineNumbers w:val="0"/>
      </w:pPr>
      <w:r>
        <w:rPr>
          <w:color w:val="auto"/>
          <w:highlight w:val="none"/>
        </w:rPr>
        <w:t xml:space="preserve"> </w:t>
      </w:r>
      <w:r/>
    </w:p>
    <w:p>
      <w:pPr>
        <w:pStyle w:val="725"/>
        <w:keepLines w:val="0"/>
        <w:keepNext w:val="0"/>
        <w:widowControl/>
        <w:rPr>
          <w:color w:val="auto"/>
          <w:highlight w:val="none"/>
        </w:rPr>
        <w:suppressLineNumbers w:val="0"/>
      </w:pPr>
      <w:r>
        <w:rPr>
          <w:color w:val="auto"/>
          <w:highlight w:val="none"/>
        </w:rPr>
        <w:t xml:space="preserve">  </w:t>
      </w:r>
      <w:r/>
    </w:p>
    <w:p>
      <w:pPr>
        <w:pStyle w:val="725"/>
        <w:keepLines w:val="0"/>
        <w:keepNext w:val="0"/>
        <w:widowControl/>
        <w:rPr>
          <w:color w:val="auto"/>
          <w:highlight w:val="none"/>
        </w:rPr>
        <w:suppressLineNumbers w:val="0"/>
      </w:pPr>
      <w:r>
        <w:rPr>
          <w:color w:val="auto"/>
          <w:highlight w:val="none"/>
        </w:rPr>
        <w:t xml:space="preserve">投标人公章：                               （电子签章）</w:t>
      </w:r>
      <w:r/>
    </w:p>
    <w:p>
      <w:pPr>
        <w:pStyle w:val="725"/>
        <w:keepLines w:val="0"/>
        <w:keepNext w:val="0"/>
        <w:widowControl/>
        <w:rPr>
          <w:color w:val="auto"/>
          <w:highlight w:val="none"/>
        </w:rPr>
        <w:suppressLineNumbers w:val="0"/>
      </w:pPr>
      <w:r>
        <w:rPr>
          <w:color w:val="auto"/>
          <w:highlight w:val="none"/>
        </w:rPr>
        <w:t xml:space="preserve"> </w:t>
      </w:r>
      <w:r/>
    </w:p>
    <w:p>
      <w:pPr>
        <w:pStyle w:val="725"/>
        <w:keepLines w:val="0"/>
        <w:keepNext w:val="0"/>
        <w:widowControl/>
        <w:rPr>
          <w:color w:val="auto"/>
          <w:highlight w:val="none"/>
        </w:rPr>
        <w:suppressLineNumbers w:val="0"/>
      </w:pPr>
      <w:r>
        <w:rPr>
          <w:color w:val="auto"/>
          <w:highlight w:val="none"/>
        </w:rPr>
        <w:t xml:space="preserve"> </w:t>
      </w:r>
      <w:r/>
    </w:p>
    <w:p>
      <w:pPr>
        <w:pStyle w:val="725"/>
        <w:keepLines w:val="0"/>
        <w:keepNext w:val="0"/>
        <w:widowControl/>
        <w:rPr>
          <w:color w:val="auto"/>
          <w:highlight w:val="none"/>
        </w:rPr>
        <w:suppressLineNumbers w:val="0"/>
      </w:pPr>
      <w:r>
        <w:rPr>
          <w:color w:val="auto"/>
          <w:highlight w:val="none"/>
        </w:rPr>
        <w:t xml:space="preserve">报价时间：     </w:t>
      </w:r>
      <w:r>
        <w:rPr>
          <w:color w:val="auto"/>
          <w:highlight w:val="none"/>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 </w:t>
      </w:r>
      <w:r>
        <w:rPr>
          <w:color w:val="auto"/>
          <w:highlight w:val="none"/>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 </w:t>
      </w:r>
      <w:r>
        <w:rPr>
          <w:color w:val="auto"/>
          <w:highlight w:val="none"/>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77"/>
        <w:rPr>
          <w:rFonts w:ascii="宋体" w:hAnsi="宋体" w:eastAsia="宋体"/>
          <w:color w:val="auto"/>
          <w:sz w:val="24"/>
          <w:szCs w:val="24"/>
          <w:highlight w:val="none"/>
        </w:rPr>
      </w:pPr>
      <w:r/>
      <w:bookmarkStart w:id="66" w:name="_Toc519686654"/>
      <w:r/>
      <w:bookmarkStart w:id="67" w:name="_Toc500143979"/>
      <w:r/>
      <w:bookmarkStart w:id="68" w:name="_Ref477865934"/>
      <w:r/>
      <w:bookmarkStart w:id="69" w:name="_Ref15304724"/>
      <w:r>
        <w:rPr>
          <w:rFonts w:ascii="宋体" w:hAnsi="宋体" w:eastAsia="宋体"/>
          <w:color w:val="auto"/>
          <w:sz w:val="24"/>
          <w:szCs w:val="24"/>
          <w:highlight w:val="none"/>
        </w:rPr>
        <w:br w:type="column"/>
      </w:r>
      <w:bookmarkStart w:id="70" w:name="_Toc166487081"/>
      <w:r/>
      <w:bookmarkStart w:id="71" w:name="_Toc98785123"/>
      <w:r/>
      <w:bookmarkStart w:id="72" w:name="_Toc166488931"/>
      <w:r/>
      <w:bookmarkStart w:id="73" w:name="_Toc13047880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66"/>
      <w:r/>
      <w:bookmarkEnd w:id="67"/>
      <w:r/>
      <w:bookmarkEnd w:id="68"/>
      <w:r>
        <w:rPr>
          <w:rFonts w:ascii="宋体" w:hAnsi="宋体" w:eastAsia="宋体"/>
          <w:color w:val="auto"/>
          <w:sz w:val="24"/>
          <w:szCs w:val="24"/>
          <w:highlight w:val="none"/>
        </w:rPr>
        <w:t xml:space="preserve">报价分析表</w:t>
      </w:r>
      <w:bookmarkEnd w:id="69"/>
      <w:r/>
      <w:bookmarkEnd w:id="70"/>
      <w:r/>
      <w:bookmarkEnd w:id="71"/>
      <w:r/>
      <w:bookmarkEnd w:id="72"/>
      <w:r/>
      <w:bookmarkEnd w:id="73"/>
      <w:r/>
      <w:r/>
    </w:p>
    <w:p>
      <w:pPr>
        <w:pStyle w:val="952"/>
        <w:spacing w:line="360" w:lineRule="auto"/>
        <w:rPr>
          <w:rFonts w:hAnsi="宋体" w:eastAsia="宋体"/>
          <w:b/>
          <w:color w:val="auto"/>
          <w:sz w:val="24"/>
          <w:highlight w:val="none"/>
        </w:rPr>
      </w:pPr>
      <w:r>
        <w:rPr>
          <w:rFonts w:hAnsi="宋体" w:eastAsia="宋体"/>
          <w:b/>
          <w:color w:val="auto"/>
          <w:sz w:val="24"/>
          <w:highlight w:val="none"/>
        </w:rPr>
      </w:r>
      <w:r/>
    </w:p>
    <w:p>
      <w:pPr>
        <w:pStyle w:val="952"/>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p>
      <w:pPr>
        <w:pStyle w:val="952"/>
        <w:jc w:val="center"/>
        <w:spacing w:line="360" w:lineRule="auto"/>
        <w:rPr>
          <w:rFonts w:hAnsi="宋体" w:eastAsia="宋体"/>
          <w:color w:val="auto"/>
          <w:sz w:val="24"/>
          <w:highlight w:val="none"/>
        </w:rPr>
      </w:pPr>
      <w:r>
        <w:rPr>
          <w:rFonts w:hAnsi="宋体" w:eastAsia="宋体"/>
          <w:color w:val="auto"/>
          <w:sz w:val="24"/>
          <w:highlight w:val="none"/>
        </w:rPr>
      </w:r>
      <w:r/>
    </w:p>
    <w:tbl>
      <w:tblPr>
        <w:tblStyle w:val="686"/>
        <w:tblW w:w="883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954"/>
        <w:gridCol w:w="990"/>
        <w:gridCol w:w="1275"/>
        <w:gridCol w:w="1580"/>
        <w:gridCol w:w="1276"/>
        <w:gridCol w:w="1052"/>
      </w:tblGrid>
      <w:tr>
        <w:trPr>
          <w:cantSplit/>
          <w:jc w:val="center"/>
        </w:trPr>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auto" w:sz="4" w:space="0"/>
              <w:left w:val="single" w:color="auto" w:sz="6" w:space="0"/>
              <w:bottom w:val="single" w:color="auto" w:sz="6" w:space="0"/>
              <w:right w:val="single" w:color="auto" w:sz="6" w:space="0"/>
            </w:tcBorders>
            <w:tcW w:w="1954"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内容</w:t>
            </w:r>
            <w:r/>
          </w:p>
        </w:tc>
        <w:tc>
          <w:tcPr>
            <w:tcBorders>
              <w:top w:val="single" w:color="auto" w:sz="4" w:space="0"/>
              <w:left w:val="single" w:color="auto" w:sz="6" w:space="0"/>
              <w:bottom w:val="single" w:color="auto" w:sz="6" w:space="0"/>
              <w:right w:val="single" w:color="auto" w:sz="4" w:space="0"/>
            </w:tcBorders>
            <w:tcW w:w="99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Borders>
              <w:top w:val="single" w:color="auto" w:sz="4" w:space="0"/>
              <w:left w:val="single" w:color="auto" w:sz="4" w:space="0"/>
              <w:bottom w:val="single" w:color="auto" w:sz="6" w:space="0"/>
              <w:right w:val="single" w:color="auto" w:sz="6" w:space="0"/>
            </w:tcBorders>
            <w:tcW w:w="127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Borders>
              <w:top w:val="single" w:color="auto" w:sz="4" w:space="0"/>
              <w:left w:val="single" w:color="auto" w:sz="6" w:space="0"/>
              <w:bottom w:val="single" w:color="auto" w:sz="6" w:space="0"/>
              <w:right w:val="single" w:color="auto" w:sz="4" w:space="0"/>
            </w:tcBorders>
            <w:tcW w:w="158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Borders>
              <w:top w:val="single" w:color="auto" w:sz="4" w:space="0"/>
              <w:left w:val="single" w:color="auto" w:sz="6" w:space="0"/>
              <w:bottom w:val="single" w:color="auto" w:sz="6" w:space="0"/>
              <w:right w:val="single" w:color="auto" w:sz="4" w:space="0"/>
            </w:tcBorders>
            <w:tcW w:w="1276"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总价（元）</w:t>
            </w:r>
            <w:r/>
          </w:p>
        </w:tc>
        <w:tc>
          <w:tcPr>
            <w:tcBorders>
              <w:top w:val="single" w:color="auto" w:sz="4"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交货期</w:t>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4"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1311"/>
        </w:trPr>
        <w:tc>
          <w:tcPr>
            <w:tcBorders>
              <w:top w:val="single" w:color="auto" w:sz="4" w:space="0"/>
              <w:left w:val="single" w:color="auto" w:sz="6"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最终</w:t>
            </w:r>
            <w:r/>
          </w:p>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w:t>
            </w:r>
            <w:r/>
          </w:p>
        </w:tc>
        <w:tc>
          <w:tcPr>
            <w:gridSpan w:val="6"/>
            <w:tcBorders>
              <w:top w:val="single" w:color="auto" w:sz="4" w:space="0"/>
              <w:left w:val="single" w:color="auto" w:sz="6" w:space="0"/>
              <w:bottom w:val="single" w:color="auto" w:sz="6" w:space="0"/>
              <w:right w:val="single" w:color="auto" w:sz="6" w:space="0"/>
            </w:tcBorders>
            <w:tcW w:w="8127" w:type="dxa"/>
            <w:vAlign w:val="center"/>
            <w:textDirection w:val="lrTb"/>
            <w:noWrap w:val="false"/>
          </w:tcPr>
          <w:p>
            <w:pPr>
              <w:ind w:right="-210" w:firstLine="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金额大写：人民币                            （¥：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注：1、</w:t>
      </w:r>
      <w:r>
        <w:rPr>
          <w:rFonts w:ascii="Arial" w:hAnsi="Arial" w:cs="Arial"/>
          <w:color w:val="auto"/>
          <w:highlight w:val="none"/>
        </w:rPr>
        <w:t xml:space="preserve">各投标单位可参照上述格式自制《投标报价分析表》投标</w:t>
      </w:r>
      <w:r>
        <w:rPr>
          <w:rFonts w:hint="eastAsia" w:ascii="Arial" w:hAnsi="Arial" w:cs="Arial"/>
          <w:color w:val="auto"/>
          <w:highlight w:val="none"/>
        </w:rPr>
        <w:t xml:space="preserve">，本表格未列出的费用明细各投标单位可根据实际情况自行添加</w:t>
      </w:r>
      <w:r>
        <w:rPr>
          <w:rFonts w:hint="eastAsia"/>
          <w:color w:val="auto"/>
          <w:szCs w:val="21"/>
          <w:highlight w:val="none"/>
        </w:rPr>
        <w:t xml:space="preserve">。</w:t>
      </w:r>
      <w:r/>
    </w:p>
    <w:p>
      <w:pPr>
        <w:numPr>
          <w:ilvl w:val="0"/>
          <w:numId w:val="13"/>
        </w:numPr>
        <w:ind w:firstLine="420"/>
        <w:spacing w:line="360" w:lineRule="auto"/>
        <w:rPr>
          <w:rFonts w:ascii="宋体" w:hAnsi="宋体"/>
          <w:b w:val="0"/>
          <w:bCs w:val="0"/>
          <w:color w:val="auto"/>
          <w:szCs w:val="21"/>
          <w:highlight w:val="none"/>
        </w:rPr>
      </w:pPr>
      <w:r>
        <w:rPr>
          <w:rFonts w:hint="eastAsia" w:ascii="宋体" w:hAnsi="Courier New"/>
          <w:b w:val="0"/>
          <w:bCs w:val="0"/>
          <w:color w:val="auto"/>
          <w:szCs w:val="21"/>
          <w:highlight w:val="none"/>
        </w:rPr>
        <w:t xml:space="preserve">以上费用</w:t>
      </w:r>
      <w:r>
        <w:rPr>
          <w:rFonts w:hint="eastAsia"/>
          <w:b w:val="0"/>
          <w:bCs w:val="0"/>
          <w:color w:val="auto"/>
          <w:highlight w:val="none"/>
        </w:rPr>
        <w:t xml:space="preserve">包括完成项目工作中所需的所有费用，</w:t>
      </w:r>
      <w:r>
        <w:rPr>
          <w:rFonts w:hint="eastAsia" w:ascii="宋体" w:hAnsi="宋体" w:eastAsia="宋体" w:cs="宋体"/>
          <w:color w:val="auto"/>
          <w:szCs w:val="21"/>
          <w:highlight w:val="none"/>
        </w:rPr>
        <w:t xml:space="preserve">包括直至完成本项目全部服务内容的所有人力费用、物力费用、验收费及保险、劳保、专利技术、技术支持与人员培训等工作所发生的全部费用以及投标人企业利润、税金和政策性文件规定等一切费用</w:t>
      </w:r>
      <w:r>
        <w:rPr>
          <w:rFonts w:hint="eastAsia" w:ascii="宋体" w:hAnsi="Courier New"/>
          <w:b w:val="0"/>
          <w:bCs w:val="0"/>
          <w:color w:val="auto"/>
          <w:szCs w:val="21"/>
          <w:highlight w:val="none"/>
        </w:rPr>
        <w:t xml:space="preserve">，除本合同约定由甲方支付的价款外，甲方不再需向乙方支付其他任何费用</w:t>
      </w:r>
      <w:r>
        <w:rPr>
          <w:rFonts w:ascii="宋体" w:hAnsi="宋体"/>
          <w:b w:val="0"/>
          <w:bCs w:val="0"/>
          <w:color w:val="auto"/>
          <w:szCs w:val="21"/>
          <w:highlight w:val="none"/>
        </w:rPr>
        <w:t xml:space="preserve">。</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rPr>
        <w:t xml:space="preserve">3、如有需要说明的事项，请在备注中列明。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bookmarkStart w:id="74" w:name="_Toc130478808"/>
      <w:r/>
      <w:bookmarkStart w:id="75" w:name="_Toc98785124"/>
      <w:r/>
      <w:bookmarkStart w:id="76" w:name="_Ref3361755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77"/>
        <w:rPr>
          <w:rFonts w:hint="default" w:ascii="宋体" w:hAnsi="宋体" w:eastAsia="宋体"/>
          <w:color w:val="auto"/>
          <w:sz w:val="24"/>
          <w:szCs w:val="24"/>
          <w:highlight w:val="none"/>
          <w:lang w:val="en-US" w:eastAsia="zh-CN"/>
        </w:rPr>
      </w:pPr>
      <w:r/>
      <w:bookmarkStart w:id="77" w:name="_Toc166488933"/>
      <w:r/>
      <w:bookmarkStart w:id="78" w:name="_Toc166487083"/>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bookmarkEnd w:id="77"/>
      <w:r/>
      <w:bookmarkEnd w:id="78"/>
      <w:r>
        <w:rPr>
          <w:rFonts w:hint="eastAsia" w:ascii="宋体" w:hAnsi="宋体" w:eastAsia="宋体"/>
          <w:color w:val="auto"/>
          <w:sz w:val="24"/>
          <w:szCs w:val="24"/>
          <w:highlight w:val="none"/>
          <w:lang w:val="en-US" w:eastAsia="zh-CN"/>
        </w:rPr>
        <w:t xml:space="preserve">拟投入人员一览表</w:t>
      </w:r>
      <w:r/>
    </w:p>
    <w:p>
      <w:pPr>
        <w:pStyle w:val="1059"/>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686"/>
        <w:tblpPr w:horzAnchor="page" w:tblpX="1742" w:vertAnchor="text" w:tblpY="219" w:leftFromText="180" w:topFromText="0" w:rightFromText="180" w:bottomFromText="0"/>
        <w:tblW w:w="921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253"/>
        <w:gridCol w:w="913"/>
        <w:gridCol w:w="850"/>
        <w:gridCol w:w="980"/>
        <w:gridCol w:w="1450"/>
        <w:gridCol w:w="1422"/>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253"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913"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4" w:space="0"/>
            </w:tcBorders>
            <w:tcW w:w="98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职称</w:t>
            </w:r>
            <w:r/>
          </w:p>
        </w:tc>
        <w:tc>
          <w:tcPr>
            <w:tcBorders>
              <w:top w:val="single" w:color="auto" w:sz="6" w:space="0"/>
              <w:left w:val="single" w:color="auto" w:sz="4" w:space="0"/>
              <w:bottom w:val="single" w:color="auto" w:sz="6" w:space="0"/>
              <w:right w:val="single" w:color="auto" w:sz="6" w:space="0"/>
            </w:tcBorders>
            <w:tcW w:w="145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专业/资格</w:t>
            </w:r>
            <w:r/>
          </w:p>
        </w:tc>
        <w:tc>
          <w:tcPr>
            <w:tcBorders>
              <w:top w:val="single" w:color="auto" w:sz="6" w:space="0"/>
              <w:left w:val="single" w:color="auto" w:sz="6" w:space="0"/>
              <w:bottom w:val="single" w:color="auto" w:sz="4" w:space="0"/>
              <w:right w:val="single" w:color="auto" w:sz="4" w:space="0"/>
            </w:tcBorders>
            <w:tcW w:w="1422" w:type="dxa"/>
            <w:vAlign w:val="center"/>
            <w:textDirection w:val="lrTb"/>
            <w:noWrap w:val="false"/>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ascii="宋体" w:hAnsi="宋体"/>
          <w:b/>
          <w:bCs/>
          <w:color w:val="auto"/>
          <w:szCs w:val="21"/>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both"/>
        <w:keepLines/>
        <w:keepNext/>
        <w:spacing w:before="260" w:after="260" w:line="416" w:lineRule="auto"/>
        <w:widowControl w:val="off"/>
        <w:rPr>
          <w:rFonts w:hint="default" w:ascii="宋体" w:hAnsi="宋体" w:eastAsia="宋体" w:cs="Times New Roman"/>
          <w:b/>
          <w:bCs/>
          <w:color w:val="auto"/>
          <w:sz w:val="24"/>
          <w:szCs w:val="24"/>
          <w:highlight w:val="none"/>
          <w:lang w:val="en-US" w:eastAsia="zh-CN" w:bidi="ar-SA"/>
        </w:rPr>
        <w:outlineLvl w:val="1"/>
      </w:pPr>
      <w:r/>
      <w:bookmarkStart w:id="79" w:name="_Toc30794"/>
      <w:r/>
      <w:bookmarkStart w:id="80" w:name="_Toc166487082"/>
      <w:r/>
      <w:bookmarkStart w:id="81" w:name="_Toc166488932"/>
      <w:r>
        <w:rPr>
          <w:rFonts w:hint="eastAsia" w:ascii="宋体" w:hAnsi="宋体" w:eastAsia="宋体" w:cs="Times New Roman"/>
          <w:b/>
          <w:bCs/>
          <w:color w:val="auto"/>
          <w:sz w:val="24"/>
          <w:szCs w:val="24"/>
          <w:highlight w:val="none"/>
          <w:lang w:val="en-US" w:eastAsia="zh-CN" w:bidi="ar-SA"/>
        </w:rPr>
        <w:t xml:space="preserve">附件9</w:t>
      </w:r>
      <w:r>
        <w:rPr>
          <w:rFonts w:hint="default"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相关业绩一览表</w:t>
      </w:r>
      <w:bookmarkEnd w:id="79"/>
      <w:r/>
      <w:bookmarkEnd w:id="80"/>
      <w:r/>
      <w:bookmarkEnd w:id="81"/>
      <w:r/>
      <w:r/>
    </w:p>
    <w:p>
      <w:pPr>
        <w:jc w:val="center"/>
        <w:spacing w:line="360" w:lineRule="auto"/>
        <w:widowControl w:val="off"/>
        <w:rPr>
          <w:rFonts w:hint="default" w:ascii="宋体" w:hAnsi="宋体" w:eastAsia="宋体" w:cs="Times New Roman"/>
          <w:b/>
          <w:color w:val="auto"/>
          <w:sz w:val="24"/>
          <w:szCs w:val="20"/>
          <w:highlight w:val="none"/>
          <w:lang w:val="en-US" w:eastAsia="zh-CN" w:bidi="ar-SA"/>
        </w:rPr>
      </w:pPr>
      <w:r>
        <w:rPr>
          <w:rFonts w:hint="eastAsia" w:ascii="宋体" w:hAnsi="宋体" w:eastAsia="宋体" w:cs="Times New Roman"/>
          <w:b/>
          <w:color w:val="auto"/>
          <w:sz w:val="24"/>
          <w:szCs w:val="20"/>
          <w:highlight w:val="none"/>
          <w:lang w:val="en-US" w:eastAsia="zh-CN" w:bidi="ar-SA"/>
        </w:rPr>
        <w:t xml:space="preserve">相关业绩一览表</w:t>
      </w:r>
      <w:r/>
    </w:p>
    <w:p>
      <w:pP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服务单位名称：_________________________</w:t>
      </w:r>
      <w:r/>
    </w:p>
    <w:tbl>
      <w:tblPr>
        <w:tblStyle w:val="68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bl>
    <w:p>
      <w:pPr>
        <w:ind w:left="420" w:right="357" w:hanging="400"/>
        <w:spacing w:before="120" w:line="400" w:lineRule="exac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注：业绩按招标要求提供，否则将不作为评审的依据。</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677"/>
        <w:rPr>
          <w:rFonts w:ascii="宋体" w:hAnsi="宋体" w:eastAsia="宋体"/>
          <w:color w:val="auto"/>
          <w:sz w:val="24"/>
          <w:szCs w:val="24"/>
          <w:highlight w:val="none"/>
        </w:rPr>
      </w:pPr>
      <w:r/>
      <w:bookmarkStart w:id="82" w:name="_Toc166487084"/>
      <w:r/>
      <w:bookmarkStart w:id="83" w:name="_Toc166488934"/>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：服务方案</w:t>
      </w:r>
      <w:bookmarkEnd w:id="82"/>
      <w:r/>
      <w:bookmarkEnd w:id="83"/>
      <w:r/>
      <w:r/>
    </w:p>
    <w:tbl>
      <w:tblPr>
        <w:tblStyle w:val="686"/>
        <w:tblW w:w="4896"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1"/>
      </w:tblGrid>
      <w:tr>
        <w:trPr>
          <w:trHeight w:val="1054"/>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1、投标人可根据自身情况编写，本页不够可另加页附后。</w:t>
            </w:r>
            <w:r/>
          </w:p>
        </w:tc>
      </w:tr>
      <w:tr>
        <w:trPr>
          <w:trHeight w:val="9773"/>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hint="eastAsia" w:ascii="宋体" w:hAnsi="宋体"/>
                <w:color w:val="auto"/>
                <w:szCs w:val="21"/>
                <w:highlight w:val="none"/>
              </w:rPr>
              <w:t xml:space="preserve">                                      单位名称（盖章）：</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677"/>
        <w:rPr>
          <w:rFonts w:ascii="宋体" w:hAnsi="宋体" w:eastAsia="宋体"/>
          <w:color w:val="auto"/>
          <w:sz w:val="24"/>
          <w:szCs w:val="24"/>
          <w:highlight w:val="none"/>
        </w:rPr>
      </w:pPr>
      <w:r/>
      <w:bookmarkStart w:id="84" w:name="_Toc166487085"/>
      <w:r/>
      <w:bookmarkStart w:id="85" w:name="_Toc166488935"/>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偏离表（技术、商务）</w:t>
      </w:r>
      <w:bookmarkEnd w:id="74"/>
      <w:r/>
      <w:bookmarkEnd w:id="75"/>
      <w:r/>
      <w:bookmarkEnd w:id="76"/>
      <w:r/>
      <w:bookmarkEnd w:id="84"/>
      <w:r/>
      <w:bookmarkEnd w:id="85"/>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6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688"/>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项目内容</w:t>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688"/>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0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0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063"/>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6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688"/>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688"/>
              <w:ind w:firstLine="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交货期</w:t>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688"/>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0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063"/>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63"/>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677"/>
        <w:rPr>
          <w:rFonts w:ascii="宋体" w:hAnsi="宋体" w:eastAsia="宋体"/>
          <w:color w:val="auto"/>
          <w:sz w:val="24"/>
          <w:szCs w:val="24"/>
          <w:highlight w:val="none"/>
        </w:rPr>
      </w:pPr>
      <w:r/>
      <w:bookmarkStart w:id="86" w:name="_Toc166488936"/>
      <w:r/>
      <w:bookmarkStart w:id="87" w:name="_Toc16648708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：资格证明声明函</w:t>
      </w:r>
      <w:bookmarkEnd w:id="86"/>
      <w:r/>
      <w:bookmarkEnd w:id="87"/>
      <w:r/>
      <w:r/>
    </w:p>
    <w:p>
      <w:pPr>
        <w:pStyle w:val="688"/>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688"/>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688"/>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688"/>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688"/>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677"/>
        <w:rPr>
          <w:rFonts w:ascii="宋体" w:hAnsi="宋体" w:eastAsia="宋体"/>
          <w:color w:val="auto"/>
          <w:sz w:val="24"/>
          <w:szCs w:val="24"/>
          <w:highlight w:val="none"/>
        </w:rPr>
      </w:pPr>
      <w:r/>
      <w:bookmarkStart w:id="88" w:name="_Toc166488937"/>
      <w:r/>
      <w:bookmarkStart w:id="89" w:name="_Toc166487087"/>
      <w:r>
        <w:rPr>
          <w:rFonts w:hint="eastAsia" w:ascii="宋体" w:hAnsi="宋体" w:eastAsia="宋体"/>
          <w:color w:val="auto"/>
          <w:sz w:val="24"/>
          <w:szCs w:val="24"/>
          <w:highlight w:val="none"/>
          <w:lang w:val="zh-CN"/>
        </w:rPr>
        <w:t xml:space="preserve">附件1</w:t>
      </w:r>
      <w:r>
        <w:rPr>
          <w:rFonts w:hint="eastAsia" w:ascii="宋体" w:hAnsi="宋体" w:eastAsia="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88"/>
      <w:r/>
      <w:bookmarkEnd w:id="89"/>
      <w:r/>
      <w:r/>
    </w:p>
    <w:p>
      <w:pPr>
        <w:pStyle w:val="688"/>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bookmarkEnd w:id="90"/>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rPr>
        <w:rStyle w:val="735"/>
      </w:rPr>
      <w:framePr w:wrap="around" w:vAnchor="text" w:hAnchor="margin" w:xAlign="center" w:y="1"/>
    </w:pPr>
    <w:r>
      <w:rPr>
        <w:rStyle w:val="735"/>
      </w:rPr>
      <w:fldChar w:fldCharType="begin"/>
    </w:r>
    <w:r>
      <w:rPr>
        <w:rStyle w:val="735"/>
      </w:rPr>
      <w:instrText xml:space="preserve">PAGE  </w:instrText>
    </w:r>
    <w:r>
      <w:rPr>
        <w:rStyle w:val="735"/>
      </w:rPr>
      <w:fldChar w:fldCharType="separate"/>
    </w:r>
    <w:r>
      <w:rPr>
        <w:rStyle w:val="735"/>
      </w:rPr>
      <w:t xml:space="preserve">14</w:t>
    </w:r>
    <w:r>
      <w:rPr>
        <w:rStyle w:val="735"/>
      </w:rPr>
      <w:fldChar w:fldCharType="end"/>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35"/>
      </w:rPr>
      <w:framePr w:wrap="around" w:vAnchor="text" w:hAnchor="margin" w:xAlign="center" w:y="1"/>
    </w:pPr>
    <w:r>
      <w:rPr>
        <w:rStyle w:val="735"/>
      </w:rPr>
      <w:fldChar w:fldCharType="begin"/>
    </w:r>
    <w:r>
      <w:rPr>
        <w:rStyle w:val="735"/>
      </w:rPr>
      <w:instrText xml:space="preserve">PAGE  </w:instrText>
    </w:r>
    <w:r>
      <w:rPr>
        <w:rStyle w:val="735"/>
      </w:rP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both"/>
    </w:pPr>
    <w:r>
      <w:rPr>
        <w:rFonts w:hint="eastAsia"/>
      </w:rPr>
      <w:tab/>
    </w:r>
    <w:r>
      <w:rPr>
        <w:rFonts w:hint="eastAsia"/>
      </w:rPr>
      <w:t xml:space="preserve">JSZC-320583-SZYE-T2025-0053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9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28"/>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9"/>
      <w:isLgl w:val="false"/>
      <w:suff w:val="tab"/>
      <w:lvlText w:val="%1．"/>
      <w:lvlJc w:val="left"/>
      <w:pPr>
        <w:ind w:left="720" w:hanging="720"/>
        <w:tabs>
          <w:tab w:val="left" w:pos="720" w:leader="none"/>
        </w:tabs>
      </w:pPr>
      <w:rPr>
        <w:rFonts w:hint="eastAsia"/>
      </w:rPr>
    </w:lvl>
    <w:lvl w:ilvl="1">
      <w:start w:val="1"/>
      <w:numFmt w:val="lowerLetter"/>
      <w:pStyle w:val="104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80"/>
      <w:isLgl w:val="false"/>
      <w:suff w:val="tab"/>
      <w:lvlText w:val="%5)"/>
      <w:lvlJc w:val="left"/>
      <w:pPr>
        <w:ind w:left="2100" w:hanging="420"/>
        <w:tabs>
          <w:tab w:val="left" w:pos="2100" w:leader="none"/>
        </w:tabs>
      </w:pPr>
    </w:lvl>
    <w:lvl w:ilvl="5">
      <w:start w:val="1"/>
      <w:numFmt w:val="lowerRoman"/>
      <w:pStyle w:val="681"/>
      <w:isLgl w:val="false"/>
      <w:suff w:val="tab"/>
      <w:lvlText w:val="%6."/>
      <w:lvlJc w:val="right"/>
      <w:pPr>
        <w:ind w:left="2520" w:hanging="420"/>
        <w:tabs>
          <w:tab w:val="left" w:pos="2520" w:leader="none"/>
        </w:tabs>
      </w:pPr>
    </w:lvl>
    <w:lvl w:ilvl="6">
      <w:start w:val="1"/>
      <w:numFmt w:val="decimal"/>
      <w:pStyle w:val="68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04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00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4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3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2"/>
  </w:num>
  <w:num w:numId="3">
    <w:abstractNumId w:val="10"/>
  </w:num>
  <w:num w:numId="4">
    <w:abstractNumId w:val="1"/>
  </w:num>
  <w:num w:numId="5">
    <w:abstractNumId w:val="0"/>
  </w:num>
  <w:num w:numId="6">
    <w:abstractNumId w:val="6"/>
  </w:num>
  <w:num w:numId="7">
    <w:abstractNumId w:val="8"/>
  </w:num>
  <w:num w:numId="8">
    <w:abstractNumId w:val="12"/>
  </w:num>
  <w:num w:numId="9">
    <w:abstractNumId w:val="5"/>
  </w:num>
  <w:num w:numId="10">
    <w:abstractNumId w:val="3"/>
  </w:num>
  <w:num w:numId="11">
    <w:abstractNumId w:val="7"/>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6">
    <w:name w:val="Heading 1"/>
    <w:basedOn w:val="675"/>
    <w:next w:val="675"/>
    <w:link w:val="890"/>
    <w:uiPriority w:val="0"/>
    <w:qFormat/>
    <w:pPr>
      <w:keepLines/>
      <w:keepNext/>
      <w:spacing w:before="340" w:after="330" w:line="578" w:lineRule="auto"/>
      <w:outlineLvl w:val="0"/>
    </w:pPr>
    <w:rPr>
      <w:rFonts w:ascii="Calibri" w:hAnsi="Calibri"/>
      <w:b/>
      <w:bCs/>
      <w:sz w:val="44"/>
      <w:szCs w:val="44"/>
    </w:rPr>
  </w:style>
  <w:style w:type="paragraph" w:styleId="677">
    <w:name w:val="Heading 2"/>
    <w:basedOn w:val="675"/>
    <w:next w:val="675"/>
    <w:link w:val="891"/>
    <w:uiPriority w:val="0"/>
    <w:qFormat/>
    <w:pPr>
      <w:keepLines/>
      <w:keepNext/>
      <w:spacing w:before="260" w:after="260" w:line="416" w:lineRule="auto"/>
      <w:outlineLvl w:val="1"/>
    </w:pPr>
    <w:rPr>
      <w:rFonts w:ascii="Arial" w:hAnsi="Arial" w:eastAsia="黑体"/>
      <w:b/>
      <w:bCs/>
      <w:sz w:val="32"/>
      <w:szCs w:val="32"/>
    </w:rPr>
  </w:style>
  <w:style w:type="paragraph" w:styleId="678">
    <w:name w:val="Heading 3"/>
    <w:basedOn w:val="675"/>
    <w:next w:val="675"/>
    <w:link w:val="892"/>
    <w:uiPriority w:val="0"/>
    <w:qFormat/>
    <w:pPr>
      <w:keepLines/>
      <w:keepNext/>
      <w:spacing w:before="260" w:after="260" w:line="416" w:lineRule="auto"/>
      <w:outlineLvl w:val="2"/>
    </w:pPr>
    <w:rPr>
      <w:rFonts w:ascii="Calibri" w:hAnsi="Calibri"/>
      <w:b/>
      <w:bCs/>
      <w:sz w:val="32"/>
      <w:szCs w:val="32"/>
    </w:rPr>
  </w:style>
  <w:style w:type="paragraph" w:styleId="679">
    <w:name w:val="Heading 4"/>
    <w:basedOn w:val="675"/>
    <w:next w:val="675"/>
    <w:link w:val="893"/>
    <w:uiPriority w:val="0"/>
    <w:qFormat/>
    <w:pPr>
      <w:keepLines/>
      <w:keepNext/>
      <w:spacing w:before="280" w:after="290" w:line="374" w:lineRule="auto"/>
      <w:outlineLvl w:val="3"/>
    </w:pPr>
    <w:rPr>
      <w:rFonts w:ascii="Arial" w:hAnsi="Arial" w:eastAsia="黑体"/>
      <w:b/>
      <w:sz w:val="28"/>
      <w:szCs w:val="20"/>
    </w:rPr>
  </w:style>
  <w:style w:type="paragraph" w:styleId="680">
    <w:name w:val="Heading 5"/>
    <w:basedOn w:val="675"/>
    <w:next w:val="675"/>
    <w:link w:val="894"/>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81">
    <w:name w:val="Heading 6"/>
    <w:basedOn w:val="675"/>
    <w:next w:val="675"/>
    <w:link w:val="895"/>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82">
    <w:name w:val="Heading 7"/>
    <w:basedOn w:val="675"/>
    <w:next w:val="675"/>
    <w:link w:val="896"/>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83">
    <w:name w:val="Heading 8"/>
    <w:basedOn w:val="675"/>
    <w:next w:val="675"/>
    <w:link w:val="89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84">
    <w:name w:val="Heading 9"/>
    <w:basedOn w:val="675"/>
    <w:next w:val="675"/>
    <w:link w:val="89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0"/>
    <w:qFormat/>
    <w:pPr>
      <w:ind w:left="1440"/>
      <w:jc w:val="left"/>
      <w:spacing w:line="360" w:lineRule="auto"/>
    </w:pPr>
    <w:rPr>
      <w:rFonts w:ascii="Calibri" w:hAnsi="Calibri" w:cs="Calibri"/>
      <w:sz w:val="18"/>
      <w:szCs w:val="18"/>
    </w:rPr>
  </w:style>
  <w:style w:type="paragraph" w:styleId="688">
    <w:name w:val="Normal Indent"/>
    <w:basedOn w:val="675"/>
    <w:link w:val="899"/>
    <w:uiPriority w:val="0"/>
    <w:qFormat/>
    <w:pPr>
      <w:ind w:firstLine="420"/>
      <w:jc w:val="left"/>
    </w:pPr>
    <w:rPr>
      <w:rFonts w:ascii="Calibri" w:hAnsi="Calibri" w:eastAsia="楷体_GB2312"/>
      <w:sz w:val="24"/>
      <w:szCs w:val="20"/>
    </w:rPr>
  </w:style>
  <w:style w:type="paragraph" w:styleId="689">
    <w:name w:val="Caption"/>
    <w:basedOn w:val="675"/>
    <w:next w:val="675"/>
    <w:uiPriority w:val="0"/>
    <w:qFormat/>
    <w:pPr>
      <w:ind w:left="640" w:hanging="640"/>
      <w:jc w:val="center"/>
    </w:pPr>
    <w:rPr>
      <w:rFonts w:ascii="BankGothic Lt BT" w:hAnsi="BankGothic Lt BT" w:cs="Arial"/>
      <w:sz w:val="32"/>
    </w:rPr>
  </w:style>
  <w:style w:type="paragraph" w:styleId="690">
    <w:name w:val="Document Map"/>
    <w:basedOn w:val="675"/>
    <w:uiPriority w:val="0"/>
    <w:semiHidden/>
    <w:qFormat/>
    <w:pPr>
      <w:shd w:val="clear" w:color="auto" w:fill="000080"/>
    </w:pPr>
    <w:rPr>
      <w:szCs w:val="20"/>
    </w:rPr>
  </w:style>
  <w:style w:type="paragraph" w:styleId="691">
    <w:name w:val="annotation text"/>
    <w:basedOn w:val="675"/>
    <w:link w:val="1067"/>
    <w:uiPriority w:val="0"/>
    <w:semiHidden/>
    <w:unhideWhenUsed/>
    <w:qFormat/>
    <w:pPr>
      <w:jc w:val="left"/>
    </w:pPr>
  </w:style>
  <w:style w:type="paragraph" w:styleId="692">
    <w:name w:val="Salutation"/>
    <w:basedOn w:val="675"/>
    <w:next w:val="675"/>
    <w:uiPriority w:val="0"/>
    <w:qFormat/>
    <w:rPr>
      <w:rFonts w:ascii="宋体" w:hAnsi="宋体"/>
      <w:spacing w:val="20"/>
      <w:sz w:val="24"/>
      <w:szCs w:val="22"/>
      <w:lang w:eastAsia="en-US" w:bidi="en-US"/>
    </w:rPr>
  </w:style>
  <w:style w:type="paragraph" w:styleId="693">
    <w:name w:val="Body Text 3"/>
    <w:basedOn w:val="675"/>
    <w:uiPriority w:val="0"/>
    <w:qFormat/>
    <w:pPr>
      <w:ind w:firstLine="250"/>
      <w:spacing w:after="120" w:line="300" w:lineRule="auto"/>
    </w:pPr>
    <w:rPr>
      <w:sz w:val="16"/>
      <w:szCs w:val="16"/>
    </w:rPr>
  </w:style>
  <w:style w:type="paragraph" w:styleId="694">
    <w:name w:val="Closing"/>
    <w:basedOn w:val="675"/>
    <w:uiPriority w:val="0"/>
    <w:qFormat/>
    <w:pPr>
      <w:ind w:left="100"/>
    </w:pPr>
    <w:rPr>
      <w:rFonts w:ascii="宋体" w:hAnsi="宋体"/>
      <w:spacing w:val="20"/>
      <w:sz w:val="24"/>
      <w:szCs w:val="22"/>
      <w:lang w:eastAsia="en-US" w:bidi="en-US"/>
    </w:rPr>
  </w:style>
  <w:style w:type="paragraph" w:styleId="695">
    <w:name w:val="Body Text"/>
    <w:basedOn w:val="675"/>
    <w:link w:val="900"/>
    <w:uiPriority w:val="0"/>
    <w:qFormat/>
    <w:pPr>
      <w:tabs>
        <w:tab w:val="left" w:pos="5250" w:leader="none"/>
      </w:tabs>
    </w:pPr>
    <w:rPr>
      <w:rFonts w:ascii="Calibri" w:hAnsi="Calibri"/>
      <w:sz w:val="28"/>
    </w:rPr>
  </w:style>
  <w:style w:type="paragraph" w:styleId="696">
    <w:name w:val="Body Text Indent"/>
    <w:basedOn w:val="675"/>
    <w:next w:val="697"/>
    <w:link w:val="901"/>
    <w:uiPriority w:val="0"/>
    <w:qFormat/>
    <w:pPr>
      <w:ind w:left="570"/>
      <w:spacing w:line="520" w:lineRule="exact"/>
    </w:pPr>
    <w:rPr>
      <w:rFonts w:ascii="方正仿宋简体" w:hAnsi="创艺简仿宋" w:eastAsia="方正仿宋简体"/>
      <w:sz w:val="24"/>
      <w:szCs w:val="20"/>
    </w:rPr>
  </w:style>
  <w:style w:type="paragraph" w:styleId="697">
    <w:name w:val="envelope return"/>
    <w:uiPriority w:val="0"/>
    <w:qFormat/>
    <w:pPr>
      <w:jc w:val="both"/>
      <w:widowControl w:val="off"/>
    </w:pPr>
    <w:rPr>
      <w:rFonts w:ascii="Arial" w:hAnsi="Arial" w:eastAsia="宋体" w:cs="Times New Roman"/>
      <w:sz w:val="21"/>
      <w:lang w:val="en-US" w:eastAsia="zh-CN" w:bidi="ar-SA"/>
    </w:rPr>
  </w:style>
  <w:style w:type="paragraph" w:styleId="698">
    <w:name w:val="List 2"/>
    <w:basedOn w:val="675"/>
    <w:uiPriority w:val="0"/>
    <w:qFormat/>
    <w:pPr>
      <w:ind w:left="100" w:hanging="200"/>
    </w:pPr>
    <w:rPr>
      <w:lang w:eastAsia="en-US" w:bidi="en-US"/>
    </w:rPr>
  </w:style>
  <w:style w:type="paragraph" w:styleId="699">
    <w:name w:val="Block Text"/>
    <w:basedOn w:val="675"/>
    <w:uiPriority w:val="0"/>
    <w:qFormat/>
    <w:pPr>
      <w:ind w:left="113" w:right="113"/>
      <w:jc w:val="center"/>
    </w:pPr>
    <w:rPr>
      <w:rFonts w:ascii="仿宋_GB2312" w:eastAsia="仿宋_GB2312"/>
      <w:b/>
      <w:szCs w:val="20"/>
    </w:rPr>
  </w:style>
  <w:style w:type="paragraph" w:styleId="700">
    <w:name w:val="List Bullet 2"/>
    <w:basedOn w:val="675"/>
    <w:uiPriority w:val="0"/>
    <w:qFormat/>
    <w:pPr>
      <w:ind w:left="780" w:hanging="360"/>
      <w:tabs>
        <w:tab w:val="left" w:pos="780" w:leader="none"/>
      </w:tabs>
      <w:outlineLvl w:val="0"/>
    </w:pPr>
    <w:rPr>
      <w:color w:val="0000ff"/>
      <w:sz w:val="24"/>
      <w:szCs w:val="20"/>
    </w:rPr>
  </w:style>
  <w:style w:type="paragraph" w:styleId="701">
    <w:name w:val="toc 5"/>
    <w:basedOn w:val="675"/>
    <w:next w:val="675"/>
    <w:uiPriority w:val="0"/>
    <w:qFormat/>
    <w:pPr>
      <w:ind w:left="960"/>
      <w:jc w:val="left"/>
      <w:spacing w:line="360" w:lineRule="auto"/>
    </w:pPr>
    <w:rPr>
      <w:rFonts w:ascii="Calibri" w:hAnsi="Calibri" w:cs="Calibri"/>
      <w:sz w:val="18"/>
      <w:szCs w:val="18"/>
    </w:rPr>
  </w:style>
  <w:style w:type="paragraph" w:styleId="702">
    <w:name w:val="toc 3"/>
    <w:basedOn w:val="675"/>
    <w:next w:val="675"/>
    <w:uiPriority w:val="39"/>
    <w:qFormat/>
    <w:pPr>
      <w:ind w:left="840"/>
    </w:pPr>
  </w:style>
  <w:style w:type="paragraph" w:styleId="703">
    <w:name w:val="Plain Text"/>
    <w:basedOn w:val="675"/>
    <w:link w:val="902"/>
    <w:uiPriority w:val="0"/>
    <w:qFormat/>
    <w:rPr>
      <w:rFonts w:ascii="宋体" w:hAnsi="Courier New" w:eastAsia="楷体_GB2312"/>
      <w:sz w:val="28"/>
      <w:szCs w:val="20"/>
    </w:rPr>
  </w:style>
  <w:style w:type="paragraph" w:styleId="704">
    <w:name w:val="toc 8"/>
    <w:basedOn w:val="675"/>
    <w:next w:val="675"/>
    <w:uiPriority w:val="0"/>
    <w:qFormat/>
    <w:pPr>
      <w:ind w:left="1680"/>
      <w:jc w:val="left"/>
      <w:spacing w:line="360" w:lineRule="auto"/>
    </w:pPr>
    <w:rPr>
      <w:rFonts w:ascii="Calibri" w:hAnsi="Calibri" w:cs="Calibri"/>
      <w:sz w:val="18"/>
      <w:szCs w:val="18"/>
    </w:rPr>
  </w:style>
  <w:style w:type="paragraph" w:styleId="705">
    <w:name w:val="Date"/>
    <w:basedOn w:val="675"/>
    <w:next w:val="675"/>
    <w:link w:val="903"/>
    <w:uiPriority w:val="0"/>
    <w:qFormat/>
    <w:pPr>
      <w:ind w:left="100"/>
    </w:pPr>
    <w:rPr>
      <w:rFonts w:ascii="Calibri" w:hAnsi="Calibri"/>
      <w:sz w:val="28"/>
    </w:rPr>
  </w:style>
  <w:style w:type="paragraph" w:styleId="706">
    <w:name w:val="Body Text Indent 2"/>
    <w:basedOn w:val="675"/>
    <w:uiPriority w:val="0"/>
    <w:qFormat/>
    <w:pPr>
      <w:ind w:firstLine="570"/>
      <w:spacing w:line="520" w:lineRule="exact"/>
    </w:pPr>
    <w:rPr>
      <w:rFonts w:ascii="方正仿宋简体" w:hAnsi="创艺简仿宋" w:eastAsia="方正仿宋简体"/>
      <w:bCs/>
      <w:sz w:val="24"/>
      <w:szCs w:val="20"/>
    </w:rPr>
  </w:style>
  <w:style w:type="paragraph" w:styleId="707">
    <w:name w:val="endnote text"/>
    <w:basedOn w:val="675"/>
    <w:link w:val="888"/>
    <w:uiPriority w:val="99"/>
    <w:semiHidden/>
    <w:unhideWhenUsed/>
    <w:qFormat/>
    <w:rPr>
      <w:sz w:val="20"/>
    </w:rPr>
  </w:style>
  <w:style w:type="paragraph" w:styleId="708">
    <w:name w:val="Balloon Text"/>
    <w:basedOn w:val="675"/>
    <w:uiPriority w:val="0"/>
    <w:semiHidden/>
    <w:qFormat/>
    <w:rPr>
      <w:sz w:val="18"/>
      <w:szCs w:val="18"/>
    </w:rPr>
  </w:style>
  <w:style w:type="paragraph" w:styleId="709">
    <w:name w:val="Footer"/>
    <w:basedOn w:val="675"/>
    <w:link w:val="761"/>
    <w:uiPriority w:val="0"/>
    <w:qFormat/>
    <w:pPr>
      <w:jc w:val="left"/>
      <w:tabs>
        <w:tab w:val="center" w:pos="4153" w:leader="none"/>
        <w:tab w:val="right" w:pos="8306" w:leader="none"/>
      </w:tabs>
    </w:pPr>
    <w:rPr>
      <w:sz w:val="18"/>
      <w:szCs w:val="18"/>
    </w:rPr>
  </w:style>
  <w:style w:type="paragraph" w:styleId="710">
    <w:name w:val="Header"/>
    <w:basedOn w:val="675"/>
    <w:link w:val="904"/>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11">
    <w:name w:val="toc 1"/>
    <w:basedOn w:val="675"/>
    <w:next w:val="675"/>
    <w:uiPriority w:val="39"/>
    <w:qFormat/>
    <w:rPr>
      <w:sz w:val="30"/>
    </w:rPr>
  </w:style>
  <w:style w:type="paragraph" w:styleId="712">
    <w:name w:val="toc 4"/>
    <w:basedOn w:val="675"/>
    <w:next w:val="675"/>
    <w:uiPriority w:val="0"/>
    <w:qFormat/>
    <w:pPr>
      <w:ind w:left="720"/>
      <w:jc w:val="left"/>
      <w:spacing w:line="360" w:lineRule="auto"/>
    </w:pPr>
    <w:rPr>
      <w:rFonts w:ascii="Calibri" w:hAnsi="Calibri" w:cs="Calibri"/>
      <w:sz w:val="18"/>
      <w:szCs w:val="18"/>
    </w:rPr>
  </w:style>
  <w:style w:type="paragraph" w:styleId="713">
    <w:name w:val="index heading"/>
    <w:basedOn w:val="675"/>
    <w:next w:val="714"/>
    <w:uiPriority w:val="0"/>
    <w:semiHidden/>
    <w:qFormat/>
    <w:pPr>
      <w:jc w:val="left"/>
      <w:spacing w:after="200" w:line="276" w:lineRule="auto"/>
      <w:widowControl/>
    </w:pPr>
    <w:rPr>
      <w:rFonts w:ascii="Arial" w:hAnsi="Arial" w:cs="Arial"/>
      <w:b/>
      <w:bCs/>
      <w:sz w:val="22"/>
      <w:szCs w:val="22"/>
      <w:lang w:eastAsia="en-US" w:bidi="en-US"/>
    </w:rPr>
  </w:style>
  <w:style w:type="paragraph" w:styleId="714">
    <w:name w:val="index 1"/>
    <w:basedOn w:val="675"/>
    <w:next w:val="675"/>
    <w:uiPriority w:val="0"/>
    <w:qFormat/>
    <w:rPr>
      <w:b/>
      <w:bCs/>
    </w:rPr>
  </w:style>
  <w:style w:type="paragraph" w:styleId="715">
    <w:name w:val="Subtitle"/>
    <w:basedOn w:val="675"/>
    <w:next w:val="675"/>
    <w:link w:val="905"/>
    <w:uiPriority w:val="0"/>
    <w:qFormat/>
    <w:pPr>
      <w:jc w:val="left"/>
      <w:spacing w:after="200" w:line="276" w:lineRule="auto"/>
      <w:widowControl/>
    </w:pPr>
    <w:rPr>
      <w:rFonts w:ascii="Calibri" w:hAnsi="Calibri"/>
    </w:rPr>
  </w:style>
  <w:style w:type="paragraph" w:styleId="716">
    <w:name w:val="List"/>
    <w:basedOn w:val="675"/>
    <w:uiPriority w:val="0"/>
    <w:qFormat/>
    <w:pPr>
      <w:ind w:left="420" w:hanging="420"/>
    </w:pPr>
    <w:rPr>
      <w:szCs w:val="20"/>
    </w:rPr>
  </w:style>
  <w:style w:type="paragraph" w:styleId="717">
    <w:name w:val="footnote text"/>
    <w:basedOn w:val="675"/>
    <w:link w:val="887"/>
    <w:uiPriority w:val="99"/>
    <w:semiHidden/>
    <w:unhideWhenUsed/>
    <w:qFormat/>
    <w:pPr>
      <w:spacing w:after="40"/>
    </w:pPr>
    <w:rPr>
      <w:sz w:val="18"/>
    </w:rPr>
  </w:style>
  <w:style w:type="paragraph" w:styleId="718">
    <w:name w:val="toc 6"/>
    <w:basedOn w:val="675"/>
    <w:next w:val="675"/>
    <w:uiPriority w:val="0"/>
    <w:qFormat/>
    <w:pPr>
      <w:ind w:left="2100"/>
    </w:pPr>
  </w:style>
  <w:style w:type="paragraph" w:styleId="719">
    <w:name w:val="Body Text Indent 3"/>
    <w:basedOn w:val="675"/>
    <w:uiPriority w:val="0"/>
    <w:qFormat/>
    <w:pPr>
      <w:ind w:left="659"/>
      <w:spacing w:line="360" w:lineRule="auto"/>
    </w:pPr>
    <w:rPr>
      <w:rFonts w:ascii="宋体" w:hAnsi="宋体"/>
      <w:sz w:val="24"/>
    </w:rPr>
  </w:style>
  <w:style w:type="paragraph" w:styleId="720">
    <w:name w:val="table of figures"/>
    <w:basedOn w:val="675"/>
    <w:next w:val="675"/>
    <w:uiPriority w:val="99"/>
    <w:unhideWhenUsed/>
    <w:qFormat/>
  </w:style>
  <w:style w:type="paragraph" w:styleId="721">
    <w:name w:val="toc 2"/>
    <w:basedOn w:val="675"/>
    <w:next w:val="675"/>
    <w:uiPriority w:val="39"/>
    <w:qFormat/>
    <w:pPr>
      <w:ind w:left="420"/>
    </w:pPr>
  </w:style>
  <w:style w:type="paragraph" w:styleId="722">
    <w:name w:val="toc 9"/>
    <w:basedOn w:val="675"/>
    <w:next w:val="675"/>
    <w:uiPriority w:val="0"/>
    <w:qFormat/>
    <w:pPr>
      <w:ind w:left="1920"/>
      <w:jc w:val="left"/>
      <w:spacing w:line="360" w:lineRule="auto"/>
    </w:pPr>
    <w:rPr>
      <w:rFonts w:ascii="Calibri" w:hAnsi="Calibri" w:cs="Calibri"/>
      <w:sz w:val="18"/>
      <w:szCs w:val="18"/>
    </w:rPr>
  </w:style>
  <w:style w:type="paragraph" w:styleId="723">
    <w:name w:val="Body Text 2"/>
    <w:basedOn w:val="675"/>
    <w:uiPriority w:val="0"/>
    <w:qFormat/>
    <w:pPr>
      <w:spacing w:after="120" w:line="480" w:lineRule="auto"/>
    </w:pPr>
  </w:style>
  <w:style w:type="paragraph" w:styleId="724">
    <w:name w:val="List Continue 2"/>
    <w:basedOn w:val="675"/>
    <w:uiPriority w:val="0"/>
    <w:qFormat/>
    <w:pPr>
      <w:ind w:left="840"/>
      <w:spacing w:after="120"/>
    </w:pPr>
    <w:rPr>
      <w:lang w:eastAsia="en-US" w:bidi="en-US"/>
    </w:rPr>
  </w:style>
  <w:style w:type="paragraph" w:styleId="725">
    <w:name w:val="Normal (Web)"/>
    <w:basedOn w:val="675"/>
    <w:uiPriority w:val="0"/>
    <w:semiHidden/>
    <w:unhideWhenUsed/>
    <w:qFormat/>
    <w:pPr>
      <w:jc w:val="left"/>
      <w:spacing w:before="100" w:beforeAutospacing="1" w:after="100" w:afterAutospacing="1"/>
      <w:widowControl/>
    </w:pPr>
    <w:rPr>
      <w:rFonts w:ascii="宋体" w:hAnsi="宋体" w:cs="宋体"/>
      <w:sz w:val="24"/>
    </w:rPr>
  </w:style>
  <w:style w:type="paragraph" w:styleId="726">
    <w:name w:val="Title"/>
    <w:basedOn w:val="675"/>
    <w:next w:val="675"/>
    <w:link w:val="755"/>
    <w:uiPriority w:val="0"/>
    <w:qFormat/>
    <w:pPr>
      <w:contextualSpacing/>
      <w:jc w:val="left"/>
      <w:spacing w:after="300"/>
      <w:widowControl/>
    </w:pPr>
    <w:rPr>
      <w:rFonts w:ascii="Cambria" w:hAnsi="Cambria"/>
      <w:smallCaps/>
      <w:sz w:val="52"/>
      <w:szCs w:val="52"/>
      <w:lang w:eastAsia="en-US" w:bidi="en-US"/>
    </w:rPr>
  </w:style>
  <w:style w:type="paragraph" w:styleId="727">
    <w:name w:val="annotation subject"/>
    <w:basedOn w:val="691"/>
    <w:next w:val="691"/>
    <w:link w:val="1070"/>
    <w:uiPriority w:val="0"/>
    <w:semiHidden/>
    <w:unhideWhenUsed/>
    <w:qFormat/>
    <w:rPr>
      <w:b/>
      <w:bCs/>
    </w:rPr>
  </w:style>
  <w:style w:type="paragraph" w:styleId="728">
    <w:name w:val="Body Text First Indent"/>
    <w:next w:val="729"/>
    <w:link w:val="906"/>
    <w:uiPriority w:val="0"/>
    <w:semiHidden/>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29" w:customStyle="1">
    <w:name w:val="样式 正文首行缩进 + 首行缩进:  1 字符"/>
    <w:basedOn w:val="675"/>
    <w:next w:val="710"/>
    <w:uiPriority w:val="0"/>
    <w:qFormat/>
    <w:pPr>
      <w:ind w:firstLine="200"/>
      <w:jc w:val="left"/>
      <w:spacing w:after="40" w:line="276" w:lineRule="auto"/>
      <w:widowControl/>
    </w:pPr>
    <w:rPr>
      <w:rFonts w:ascii="Cambria" w:hAnsi="Cambria"/>
      <w:sz w:val="22"/>
      <w:szCs w:val="20"/>
      <w:lang w:eastAsia="en-US" w:bidi="en-US"/>
    </w:rPr>
  </w:style>
  <w:style w:type="paragraph" w:styleId="730">
    <w:name w:val="Body Text First Indent 2"/>
    <w:uiPriority w:val="0"/>
    <w:qFormat/>
    <w:pPr>
      <w:ind w:left="420" w:firstLine="420"/>
      <w:jc w:val="both"/>
      <w:widowControl w:val="off"/>
    </w:pPr>
    <w:rPr>
      <w:rFonts w:ascii="Times New Roman" w:hAnsi="Times New Roman" w:eastAsia="宋体" w:cs="Times New Roman"/>
      <w:sz w:val="21"/>
      <w:lang w:val="en-US" w:eastAsia="zh-CN" w:bidi="ar-SA"/>
    </w:rPr>
  </w:style>
  <w:style w:type="table" w:styleId="731">
    <w:name w:val="Table Grid"/>
    <w:basedOn w:val="68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2">
    <w:name w:val="Table Theme"/>
    <w:basedOn w:val="6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uiPriority w:val="22"/>
    <w:qFormat/>
    <w:rPr>
      <w:b/>
      <w:bCs/>
    </w:rPr>
  </w:style>
  <w:style w:type="character" w:styleId="734">
    <w:name w:val="endnote reference"/>
    <w:basedOn w:val="685"/>
    <w:uiPriority w:val="99"/>
    <w:semiHidden/>
    <w:unhideWhenUsed/>
    <w:qFormat/>
    <w:rPr>
      <w:vertAlign w:val="superscript"/>
    </w:rPr>
  </w:style>
  <w:style w:type="character" w:styleId="735">
    <w:name w:val="page number"/>
    <w:basedOn w:val="685"/>
    <w:uiPriority w:val="0"/>
    <w:qFormat/>
  </w:style>
  <w:style w:type="character" w:styleId="736">
    <w:name w:val="FollowedHyperlink"/>
    <w:uiPriority w:val="99"/>
    <w:qFormat/>
    <w:rPr>
      <w:color w:val="800080"/>
      <w:u w:val="single"/>
    </w:rPr>
  </w:style>
  <w:style w:type="character" w:styleId="737">
    <w:name w:val="Emphasis"/>
    <w:basedOn w:val="685"/>
    <w:uiPriority w:val="0"/>
    <w:qFormat/>
  </w:style>
  <w:style w:type="character" w:styleId="738">
    <w:name w:val="Hyperlink"/>
    <w:uiPriority w:val="99"/>
    <w:qFormat/>
    <w:rPr>
      <w:color w:val="0000ff"/>
      <w:u w:val="single"/>
    </w:rPr>
  </w:style>
  <w:style w:type="character" w:styleId="739">
    <w:name w:val="annotation reference"/>
    <w:basedOn w:val="685"/>
    <w:uiPriority w:val="0"/>
    <w:semiHidden/>
    <w:unhideWhenUsed/>
    <w:qFormat/>
    <w:rPr>
      <w:sz w:val="21"/>
      <w:szCs w:val="21"/>
    </w:rPr>
  </w:style>
  <w:style w:type="character" w:styleId="740">
    <w:name w:val="footnote reference"/>
    <w:basedOn w:val="685"/>
    <w:uiPriority w:val="99"/>
    <w:unhideWhenUsed/>
    <w:qFormat/>
    <w:rPr>
      <w:vertAlign w:val="superscript"/>
    </w:rPr>
  </w:style>
  <w:style w:type="paragraph" w:styleId="741" w:customStyle="1">
    <w:name w:val="正文文本11"/>
    <w:uiPriority w:val="0"/>
    <w:qFormat/>
    <w:pPr>
      <w:jc w:val="both"/>
      <w:spacing w:line="400" w:lineRule="exact"/>
      <w:widowControl w:val="off"/>
    </w:pPr>
    <w:rPr>
      <w:rFonts w:hint="default" w:ascii="楷体_GB2312" w:hAnsi="Times New Roman" w:eastAsia="楷体_GB2312" w:cs="Times New Roman"/>
      <w:sz w:val="28"/>
      <w:szCs w:val="20"/>
      <w:lang w:val="en-US" w:eastAsia="zh-CN" w:bidi="ar-SA"/>
    </w:rPr>
  </w:style>
  <w:style w:type="character" w:styleId="742" w:customStyle="1">
    <w:name w:val="Title Char"/>
    <w:basedOn w:val="685"/>
    <w:uiPriority w:val="10"/>
    <w:qFormat/>
    <w:rPr>
      <w:sz w:val="48"/>
      <w:szCs w:val="48"/>
    </w:rPr>
  </w:style>
  <w:style w:type="character" w:styleId="743" w:customStyle="1">
    <w:name w:val="Caption Char"/>
    <w:uiPriority w:val="99"/>
    <w:qFormat/>
  </w:style>
  <w:style w:type="character" w:styleId="744" w:customStyle="1">
    <w:name w:val="Footnote Text Char"/>
    <w:uiPriority w:val="99"/>
    <w:qFormat/>
    <w:rPr>
      <w:sz w:val="18"/>
    </w:rPr>
  </w:style>
  <w:style w:type="character" w:styleId="745" w:customStyle="1">
    <w:name w:val="Endnote Text Char"/>
    <w:uiPriority w:val="99"/>
    <w:qFormat/>
    <w:rPr>
      <w:sz w:val="20"/>
    </w:rPr>
  </w:style>
  <w:style w:type="paragraph" w:styleId="746" w:customStyle="1">
    <w:name w:val="TOC 标题1"/>
    <w:uiPriority w:val="39"/>
    <w:unhideWhenUsed/>
    <w:qFormat/>
    <w:rPr>
      <w:rFonts w:ascii="Calibri" w:hAnsi="Calibri" w:eastAsia="宋体" w:cs="Times New Roman"/>
      <w:lang w:val="en-US" w:eastAsia="zh-CN" w:bidi="ar-SA"/>
    </w:rPr>
  </w:style>
  <w:style w:type="character" w:styleId="747" w:customStyle="1">
    <w:name w:val="Heading 1 Char"/>
    <w:basedOn w:val="685"/>
    <w:uiPriority w:val="9"/>
    <w:qFormat/>
    <w:rPr>
      <w:rFonts w:ascii="Arial" w:hAnsi="Arial" w:eastAsia="Arial" w:cs="Arial"/>
      <w:sz w:val="40"/>
      <w:szCs w:val="40"/>
    </w:rPr>
  </w:style>
  <w:style w:type="character" w:styleId="748" w:customStyle="1">
    <w:name w:val="Heading 2 Char"/>
    <w:basedOn w:val="685"/>
    <w:uiPriority w:val="9"/>
    <w:qFormat/>
    <w:rPr>
      <w:rFonts w:ascii="Arial" w:hAnsi="Arial" w:eastAsia="Arial" w:cs="Arial"/>
      <w:sz w:val="34"/>
    </w:rPr>
  </w:style>
  <w:style w:type="character" w:styleId="749" w:customStyle="1">
    <w:name w:val="Heading 4 Char"/>
    <w:basedOn w:val="685"/>
    <w:uiPriority w:val="9"/>
    <w:qFormat/>
    <w:rPr>
      <w:rFonts w:ascii="Arial" w:hAnsi="Arial" w:eastAsia="Arial" w:cs="Arial"/>
      <w:b/>
      <w:bCs/>
      <w:sz w:val="26"/>
      <w:szCs w:val="26"/>
    </w:rPr>
  </w:style>
  <w:style w:type="character" w:styleId="750" w:customStyle="1">
    <w:name w:val="Heading 5 Char"/>
    <w:basedOn w:val="685"/>
    <w:uiPriority w:val="9"/>
    <w:qFormat/>
    <w:rPr>
      <w:rFonts w:ascii="Arial" w:hAnsi="Arial" w:eastAsia="Arial" w:cs="Arial"/>
      <w:b/>
      <w:bCs/>
      <w:sz w:val="24"/>
      <w:szCs w:val="24"/>
    </w:rPr>
  </w:style>
  <w:style w:type="character" w:styleId="751" w:customStyle="1">
    <w:name w:val="Heading 6 Char"/>
    <w:basedOn w:val="685"/>
    <w:uiPriority w:val="9"/>
    <w:qFormat/>
    <w:rPr>
      <w:rFonts w:ascii="Arial" w:hAnsi="Arial" w:eastAsia="Arial" w:cs="Arial"/>
      <w:b/>
      <w:bCs/>
      <w:sz w:val="22"/>
      <w:szCs w:val="22"/>
    </w:rPr>
  </w:style>
  <w:style w:type="character" w:styleId="752" w:customStyle="1">
    <w:name w:val="Heading 7 Char"/>
    <w:basedOn w:val="685"/>
    <w:uiPriority w:val="9"/>
    <w:qFormat/>
    <w:rPr>
      <w:rFonts w:ascii="Arial" w:hAnsi="Arial" w:eastAsia="Arial" w:cs="Arial"/>
      <w:b/>
      <w:bCs/>
      <w:i/>
      <w:iCs/>
      <w:sz w:val="22"/>
      <w:szCs w:val="22"/>
    </w:rPr>
  </w:style>
  <w:style w:type="character" w:styleId="753" w:customStyle="1">
    <w:name w:val="Heading 8 Char"/>
    <w:basedOn w:val="685"/>
    <w:uiPriority w:val="9"/>
    <w:qFormat/>
    <w:rPr>
      <w:rFonts w:ascii="Arial" w:hAnsi="Arial" w:eastAsia="Arial" w:cs="Arial"/>
      <w:i/>
      <w:iCs/>
      <w:sz w:val="22"/>
      <w:szCs w:val="22"/>
    </w:rPr>
  </w:style>
  <w:style w:type="character" w:styleId="754" w:customStyle="1">
    <w:name w:val="Heading 9 Char"/>
    <w:basedOn w:val="685"/>
    <w:uiPriority w:val="9"/>
    <w:qFormat/>
    <w:rPr>
      <w:rFonts w:ascii="Arial" w:hAnsi="Arial" w:eastAsia="Arial" w:cs="Arial"/>
      <w:i/>
      <w:iCs/>
      <w:sz w:val="21"/>
      <w:szCs w:val="21"/>
    </w:rPr>
  </w:style>
  <w:style w:type="character" w:styleId="755" w:customStyle="1">
    <w:name w:val="标题 字符"/>
    <w:basedOn w:val="685"/>
    <w:link w:val="726"/>
    <w:uiPriority w:val="10"/>
    <w:qFormat/>
    <w:rPr>
      <w:sz w:val="48"/>
      <w:szCs w:val="48"/>
    </w:rPr>
  </w:style>
  <w:style w:type="character" w:styleId="756" w:customStyle="1">
    <w:name w:val="Subtitle Char"/>
    <w:basedOn w:val="685"/>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685"/>
    <w:uiPriority w:val="99"/>
    <w:qFormat/>
  </w:style>
  <w:style w:type="character" w:styleId="760" w:customStyle="1">
    <w:name w:val="Footer Char"/>
    <w:basedOn w:val="685"/>
    <w:uiPriority w:val="99"/>
    <w:qFormat/>
  </w:style>
  <w:style w:type="character" w:styleId="761" w:customStyle="1">
    <w:name w:val="页脚 字符"/>
    <w:link w:val="709"/>
    <w:uiPriority w:val="99"/>
    <w:qFormat/>
  </w:style>
  <w:style w:type="table" w:styleId="762" w:customStyle="1">
    <w:name w:val="Table Grid Light"/>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3" w:customStyle="1">
    <w:name w:val="无格式表格 11"/>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6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2" w:customStyle="1">
    <w:name w:val="网格表 3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6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6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1" w:customStyle="1">
    <w:name w:val="Grid Table 4 - Accent 2"/>
    <w:basedOn w:val="6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2" w:customStyle="1">
    <w:name w:val="Grid Table 4 - Accent 3"/>
    <w:basedOn w:val="6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3" w:customStyle="1">
    <w:name w:val="Grid Table 4 - Accent 4"/>
    <w:basedOn w:val="6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4" w:customStyle="1">
    <w:name w:val="Grid Table 4 - Accent 5"/>
    <w:basedOn w:val="6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5" w:customStyle="1">
    <w:name w:val="Grid Table 4 - Accent 6"/>
    <w:basedOn w:val="6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6"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8"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9"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0"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1"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2"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3" w:customStyle="1">
    <w:name w:val="网格表 6 彩色1"/>
    <w:basedOn w:val="6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6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6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7" w:customStyle="1">
    <w:name w:val="Grid Table 6 Colorful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6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9" w:customStyle="1">
    <w:name w:val="Grid Table 6 Colorful - Accent 6"/>
    <w:basedOn w:val="6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0" w:customStyle="1">
    <w:name w:val="网格表 7 彩色1"/>
    <w:basedOn w:val="6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6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6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6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6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6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6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7" w:customStyle="1">
    <w:name w:val="清单表 1 浅色1"/>
    <w:basedOn w:val="6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6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6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6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6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6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6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4" w:customStyle="1">
    <w:name w:val="清单表 21"/>
    <w:basedOn w:val="6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6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6" w:customStyle="1">
    <w:name w:val="List Table 2 - Accent 2"/>
    <w:basedOn w:val="6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7" w:customStyle="1">
    <w:name w:val="List Table 2 - Accent 3"/>
    <w:basedOn w:val="6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8" w:customStyle="1">
    <w:name w:val="List Table 2 - Accent 4"/>
    <w:basedOn w:val="6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9" w:customStyle="1">
    <w:name w:val="List Table 2 - Accent 5"/>
    <w:basedOn w:val="6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0" w:customStyle="1">
    <w:name w:val="List Table 2 - Accent 6"/>
    <w:basedOn w:val="6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1"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6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3" w:customStyle="1">
    <w:name w:val="List Table 3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6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6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6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8"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6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4 - Accent 2"/>
    <w:basedOn w:val="6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1" w:customStyle="1">
    <w:name w:val="List Table 4 - Accent 3"/>
    <w:basedOn w:val="6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2" w:customStyle="1">
    <w:name w:val="List Table 4 - Accent 4"/>
    <w:basedOn w:val="6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3" w:customStyle="1">
    <w:name w:val="List Table 4 - Accent 5"/>
    <w:basedOn w:val="6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4" w:customStyle="1">
    <w:name w:val="List Table 4 - Accent 6"/>
    <w:basedOn w:val="6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5" w:customStyle="1">
    <w:name w:val="清单表 5 深色1"/>
    <w:basedOn w:val="6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6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6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6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6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6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6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basedOn w:val="6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6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4" w:customStyle="1">
    <w:name w:val="List Table 6 Colorful - Accent 2"/>
    <w:basedOn w:val="6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5" w:customStyle="1">
    <w:name w:val="List Table 6 Colorful - Accent 3"/>
    <w:basedOn w:val="6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6" w:customStyle="1">
    <w:name w:val="List Table 6 Colorful - Accent 4"/>
    <w:basedOn w:val="6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7" w:customStyle="1">
    <w:name w:val="List Table 6 Colorful - Accent 5"/>
    <w:basedOn w:val="6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8" w:customStyle="1">
    <w:name w:val="List Table 6 Colorful - Accent 6"/>
    <w:basedOn w:val="6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9" w:customStyle="1">
    <w:name w:val="清单表 7 彩色1"/>
    <w:basedOn w:val="6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6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6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6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6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6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6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8" w:customStyle="1">
    <w:name w:val="Lined - Accent 2"/>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9" w:customStyle="1">
    <w:name w:val="Lined - Accent 3"/>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0" w:customStyle="1">
    <w:name w:val="Lined - Accent 4"/>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1" w:customStyle="1">
    <w:name w:val="Lined - Accent 5"/>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2" w:customStyle="1">
    <w:name w:val="Lined - Accent 6"/>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3" w:customStyle="1">
    <w:name w:val="Bordered &amp; Lined - Accent"/>
    <w:basedOn w:val="6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6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5" w:customStyle="1">
    <w:name w:val="Bordered &amp; Lined - Accent 2"/>
    <w:basedOn w:val="6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Bordered &amp; Lined - Accent 3"/>
    <w:basedOn w:val="6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Bordered &amp; Lined - Accent 4"/>
    <w:basedOn w:val="6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Bordered &amp; Lined - Accent 5"/>
    <w:basedOn w:val="6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9" w:customStyle="1">
    <w:name w:val="Bordered &amp; Lined - Accent 6"/>
    <w:basedOn w:val="6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w:basedOn w:val="6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2" w:customStyle="1">
    <w:name w:val="Bordered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3" w:customStyle="1">
    <w:name w:val="Bordered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4" w:customStyle="1">
    <w:name w:val="Bordered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5" w:customStyle="1">
    <w:name w:val="Bordered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6" w:customStyle="1">
    <w:name w:val="Bordered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7" w:customStyle="1">
    <w:name w:val="脚注文本 字符"/>
    <w:link w:val="717"/>
    <w:uiPriority w:val="99"/>
    <w:qFormat/>
    <w:rPr>
      <w:sz w:val="18"/>
    </w:rPr>
  </w:style>
  <w:style w:type="character" w:styleId="888" w:customStyle="1">
    <w:name w:val="尾注文本 字符"/>
    <w:link w:val="707"/>
    <w:uiPriority w:val="99"/>
    <w:qFormat/>
    <w:rPr>
      <w:sz w:val="20"/>
    </w:rPr>
  </w:style>
  <w:style w:type="paragraph" w:styleId="889" w:customStyle="1">
    <w:name w:val="TOC 标题111"/>
    <w:uiPriority w:val="39"/>
    <w:unhideWhenUsed/>
    <w:qFormat/>
    <w:rPr>
      <w:rFonts w:ascii="Calibri" w:hAnsi="Calibri" w:eastAsia="宋体" w:cs="Times New Roman"/>
      <w:lang w:val="en-US" w:eastAsia="zh-CN" w:bidi="ar-SA"/>
    </w:rPr>
  </w:style>
  <w:style w:type="character" w:styleId="890" w:customStyle="1">
    <w:name w:val="标题 1 字符"/>
    <w:link w:val="676"/>
    <w:uiPriority w:val="0"/>
    <w:qFormat/>
    <w:rPr>
      <w:rFonts w:ascii="Calibri" w:hAnsi="Calibri" w:eastAsia="宋体"/>
      <w:b/>
      <w:bCs/>
      <w:sz w:val="44"/>
      <w:szCs w:val="44"/>
      <w:lang w:val="en-US" w:eastAsia="zh-CN" w:bidi="ar-SA"/>
    </w:rPr>
  </w:style>
  <w:style w:type="character" w:styleId="891" w:customStyle="1">
    <w:name w:val="标题 2 字符1"/>
    <w:link w:val="677"/>
    <w:uiPriority w:val="0"/>
    <w:qFormat/>
    <w:rPr>
      <w:rFonts w:ascii="Arial" w:hAnsi="Arial" w:eastAsia="黑体"/>
      <w:b/>
      <w:bCs/>
      <w:sz w:val="32"/>
      <w:szCs w:val="32"/>
      <w:lang w:val="en-US" w:eastAsia="zh-CN" w:bidi="ar-SA"/>
    </w:rPr>
  </w:style>
  <w:style w:type="character" w:styleId="892" w:customStyle="1">
    <w:name w:val="标题 3 字符"/>
    <w:link w:val="678"/>
    <w:uiPriority w:val="0"/>
    <w:qFormat/>
    <w:rPr>
      <w:rFonts w:eastAsia="宋体"/>
      <w:b/>
      <w:bCs/>
      <w:sz w:val="32"/>
      <w:szCs w:val="32"/>
      <w:lang w:val="en-US" w:eastAsia="zh-CN" w:bidi="ar-SA"/>
    </w:rPr>
  </w:style>
  <w:style w:type="character" w:styleId="893" w:customStyle="1">
    <w:name w:val="标题 4 字符"/>
    <w:link w:val="679"/>
    <w:uiPriority w:val="0"/>
    <w:qFormat/>
    <w:rPr>
      <w:rFonts w:ascii="Arial" w:hAnsi="Arial" w:eastAsia="黑体"/>
      <w:b/>
      <w:sz w:val="28"/>
      <w:lang w:val="en-US" w:eastAsia="zh-CN" w:bidi="ar-SA"/>
    </w:rPr>
  </w:style>
  <w:style w:type="character" w:styleId="894" w:customStyle="1">
    <w:name w:val="标题 5 字符"/>
    <w:link w:val="680"/>
    <w:uiPriority w:val="0"/>
    <w:qFormat/>
    <w:rPr>
      <w:rFonts w:eastAsia="宋体"/>
      <w:b/>
      <w:sz w:val="24"/>
      <w:lang w:val="en-US" w:eastAsia="zh-CN" w:bidi="ar-SA"/>
    </w:rPr>
  </w:style>
  <w:style w:type="character" w:styleId="895" w:customStyle="1">
    <w:name w:val="标题 6 字符"/>
    <w:link w:val="681"/>
    <w:uiPriority w:val="0"/>
    <w:qFormat/>
    <w:rPr>
      <w:rFonts w:eastAsia="宋体"/>
      <w:b/>
      <w:sz w:val="24"/>
      <w:lang w:val="en-US" w:eastAsia="zh-CN" w:bidi="ar-SA"/>
    </w:rPr>
  </w:style>
  <w:style w:type="character" w:styleId="896" w:customStyle="1">
    <w:name w:val="标题 7 字符"/>
    <w:link w:val="682"/>
    <w:uiPriority w:val="0"/>
    <w:qFormat/>
    <w:rPr>
      <w:rFonts w:eastAsia="宋体"/>
      <w:b/>
      <w:sz w:val="24"/>
      <w:lang w:val="en-US" w:eastAsia="zh-CN" w:bidi="ar-SA"/>
    </w:rPr>
  </w:style>
  <w:style w:type="character" w:styleId="897" w:customStyle="1">
    <w:name w:val="标题 8 字符"/>
    <w:link w:val="683"/>
    <w:uiPriority w:val="0"/>
    <w:qFormat/>
    <w:rPr>
      <w:rFonts w:ascii="Arial" w:hAnsi="Arial" w:eastAsia="黑体"/>
      <w:sz w:val="24"/>
      <w:szCs w:val="24"/>
      <w:lang w:val="en-US" w:eastAsia="zh-CN" w:bidi="ar-SA"/>
    </w:rPr>
  </w:style>
  <w:style w:type="character" w:styleId="898" w:customStyle="1">
    <w:name w:val="标题 9 字符"/>
    <w:link w:val="684"/>
    <w:uiPriority w:val="0"/>
    <w:qFormat/>
    <w:rPr>
      <w:rFonts w:ascii="Arial" w:hAnsi="Arial" w:eastAsia="黑体"/>
      <w:sz w:val="21"/>
      <w:szCs w:val="21"/>
      <w:lang w:val="en-US" w:eastAsia="zh-CN" w:bidi="ar-SA"/>
    </w:rPr>
  </w:style>
  <w:style w:type="character" w:styleId="899" w:customStyle="1">
    <w:name w:val="正文缩进 字符1"/>
    <w:link w:val="688"/>
    <w:uiPriority w:val="0"/>
    <w:qFormat/>
    <w:rPr>
      <w:rFonts w:eastAsia="楷体_GB2312"/>
      <w:sz w:val="24"/>
      <w:lang w:val="en-US" w:eastAsia="zh-CN" w:bidi="ar-SA"/>
    </w:rPr>
  </w:style>
  <w:style w:type="character" w:styleId="900" w:customStyle="1">
    <w:name w:val="正文文本 字符"/>
    <w:link w:val="695"/>
    <w:uiPriority w:val="0"/>
    <w:semiHidden/>
    <w:qFormat/>
    <w:rPr>
      <w:rFonts w:eastAsia="宋体"/>
      <w:sz w:val="28"/>
      <w:szCs w:val="24"/>
      <w:lang w:val="en-US" w:eastAsia="zh-CN" w:bidi="ar-SA"/>
    </w:rPr>
  </w:style>
  <w:style w:type="character" w:styleId="901" w:customStyle="1">
    <w:name w:val="正文文本缩进 字符"/>
    <w:link w:val="696"/>
    <w:uiPriority w:val="0"/>
    <w:qFormat/>
    <w:rPr>
      <w:rFonts w:ascii="方正仿宋简体" w:hAnsi="创艺简仿宋" w:eastAsia="方正仿宋简体"/>
      <w:sz w:val="24"/>
    </w:rPr>
  </w:style>
  <w:style w:type="character" w:styleId="902" w:customStyle="1">
    <w:name w:val="纯文本 字符"/>
    <w:link w:val="703"/>
    <w:uiPriority w:val="0"/>
    <w:qFormat/>
    <w:rPr>
      <w:rFonts w:ascii="宋体" w:hAnsi="Courier New" w:eastAsia="楷体_GB2312"/>
      <w:sz w:val="28"/>
      <w:lang w:val="en-US" w:eastAsia="zh-CN" w:bidi="ar-SA"/>
    </w:rPr>
  </w:style>
  <w:style w:type="character" w:styleId="903" w:customStyle="1">
    <w:name w:val="日期 字符"/>
    <w:link w:val="705"/>
    <w:uiPriority w:val="0"/>
    <w:qFormat/>
    <w:rPr>
      <w:sz w:val="28"/>
      <w:szCs w:val="24"/>
    </w:rPr>
  </w:style>
  <w:style w:type="character" w:styleId="904" w:customStyle="1">
    <w:name w:val="页眉 字符"/>
    <w:link w:val="710"/>
    <w:uiPriority w:val="0"/>
    <w:semiHidden/>
    <w:qFormat/>
    <w:rPr>
      <w:rFonts w:eastAsia="宋体"/>
      <w:sz w:val="18"/>
      <w:szCs w:val="18"/>
      <w:lang w:val="en-US" w:eastAsia="zh-CN" w:bidi="ar-SA"/>
    </w:rPr>
  </w:style>
  <w:style w:type="character" w:styleId="905" w:customStyle="1">
    <w:name w:val="副标题 字符"/>
    <w:link w:val="715"/>
    <w:uiPriority w:val="0"/>
    <w:qFormat/>
    <w:rPr>
      <w:rFonts w:eastAsia="宋体"/>
      <w:sz w:val="21"/>
      <w:szCs w:val="24"/>
      <w:lang w:val="en-US" w:eastAsia="zh-CN" w:bidi="ar-SA"/>
    </w:rPr>
  </w:style>
  <w:style w:type="character" w:styleId="906" w:customStyle="1">
    <w:name w:val="正文文本首行缩进 字符"/>
    <w:link w:val="728"/>
    <w:uiPriority w:val="0"/>
    <w:semiHidden/>
    <w:qFormat/>
    <w:rPr>
      <w:rFonts w:ascii="Cambria" w:hAnsi="Cambria"/>
      <w:sz w:val="21"/>
      <w:szCs w:val="24"/>
      <w:lang w:val="en-US" w:eastAsia="zh-CN" w:bidi="ar-SA"/>
    </w:rPr>
  </w:style>
  <w:style w:type="table" w:styleId="907" w:customStyle="1">
    <w:name w:val="浅色网格 - 强调文字颜色 61"/>
    <w:basedOn w:val="686"/>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08" w:customStyle="1">
    <w:name w:val="彩色底纹 - 强调文字颜色 51"/>
    <w:basedOn w:val="686"/>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09" w:customStyle="1">
    <w:name w:val="彩色列表 - 强调文字颜色 41"/>
    <w:basedOn w:val="686"/>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10" w:customStyle="1">
    <w:name w:val="pa-0"/>
    <w:basedOn w:val="675"/>
    <w:uiPriority w:val="0"/>
    <w:qFormat/>
    <w:pPr>
      <w:jc w:val="center"/>
      <w:spacing w:line="320" w:lineRule="atLeast"/>
      <w:widowControl/>
    </w:pPr>
    <w:rPr>
      <w:rFonts w:ascii="宋体" w:hAnsi="宋体" w:cs="宋体"/>
      <w:sz w:val="24"/>
    </w:rPr>
  </w:style>
  <w:style w:type="paragraph" w:styleId="911" w:customStyle="1">
    <w:name w:val="pa-1"/>
    <w:basedOn w:val="675"/>
    <w:uiPriority w:val="0"/>
    <w:qFormat/>
    <w:pPr>
      <w:ind w:firstLine="540"/>
      <w:spacing w:line="360" w:lineRule="atLeast"/>
      <w:widowControl/>
    </w:pPr>
    <w:rPr>
      <w:rFonts w:ascii="宋体" w:hAnsi="宋体" w:cs="宋体"/>
      <w:sz w:val="24"/>
    </w:rPr>
  </w:style>
  <w:style w:type="paragraph" w:styleId="912" w:customStyle="1">
    <w:name w:val="pa-2"/>
    <w:basedOn w:val="675"/>
    <w:uiPriority w:val="0"/>
    <w:qFormat/>
    <w:pPr>
      <w:ind w:firstLine="480"/>
      <w:spacing w:line="280" w:lineRule="atLeast"/>
      <w:widowControl/>
    </w:pPr>
    <w:rPr>
      <w:rFonts w:ascii="宋体" w:hAnsi="宋体" w:cs="宋体"/>
      <w:sz w:val="24"/>
    </w:rPr>
  </w:style>
  <w:style w:type="paragraph" w:styleId="913" w:customStyle="1">
    <w:name w:val="pa-3"/>
    <w:basedOn w:val="675"/>
    <w:uiPriority w:val="0"/>
    <w:qFormat/>
    <w:pPr>
      <w:ind w:firstLine="480"/>
      <w:spacing w:line="360" w:lineRule="atLeast"/>
      <w:widowControl/>
    </w:pPr>
    <w:rPr>
      <w:rFonts w:ascii="宋体" w:hAnsi="宋体" w:cs="宋体"/>
      <w:sz w:val="24"/>
    </w:rPr>
  </w:style>
  <w:style w:type="paragraph" w:styleId="914" w:customStyle="1">
    <w:name w:val="pa-4"/>
    <w:basedOn w:val="675"/>
    <w:uiPriority w:val="0"/>
    <w:qFormat/>
    <w:pPr>
      <w:spacing w:line="360" w:lineRule="atLeast"/>
      <w:widowControl/>
    </w:pPr>
    <w:rPr>
      <w:rFonts w:ascii="宋体" w:hAnsi="宋体" w:cs="宋体"/>
      <w:sz w:val="24"/>
    </w:rPr>
  </w:style>
  <w:style w:type="paragraph" w:styleId="915" w:customStyle="1">
    <w:name w:val="pa-5"/>
    <w:basedOn w:val="675"/>
    <w:uiPriority w:val="0"/>
    <w:qFormat/>
    <w:pPr>
      <w:spacing w:line="280" w:lineRule="atLeast"/>
      <w:widowControl/>
    </w:pPr>
    <w:rPr>
      <w:rFonts w:ascii="宋体" w:hAnsi="宋体" w:cs="宋体"/>
      <w:sz w:val="24"/>
    </w:rPr>
  </w:style>
  <w:style w:type="character" w:styleId="916" w:customStyle="1">
    <w:name w:val="ca-01"/>
    <w:uiPriority w:val="0"/>
    <w:qFormat/>
    <w:rPr>
      <w:rFonts w:hint="eastAsia" w:ascii="黑体" w:eastAsia="黑体"/>
      <w:sz w:val="28"/>
      <w:szCs w:val="28"/>
    </w:rPr>
  </w:style>
  <w:style w:type="character" w:styleId="917" w:customStyle="1">
    <w:name w:val="ca-11"/>
    <w:uiPriority w:val="0"/>
    <w:qFormat/>
    <w:rPr>
      <w:rFonts w:hint="eastAsia" w:ascii="宋体" w:hAnsi="宋体" w:eastAsia="宋体"/>
      <w:sz w:val="24"/>
      <w:szCs w:val="24"/>
    </w:rPr>
  </w:style>
  <w:style w:type="character" w:styleId="918" w:customStyle="1">
    <w:name w:val="ca-21"/>
    <w:uiPriority w:val="0"/>
    <w:qFormat/>
    <w:rPr>
      <w:rFonts w:hint="eastAsia" w:ascii="宋体" w:hAnsi="宋体" w:eastAsia="宋体"/>
      <w:b/>
      <w:bCs/>
      <w:color w:val="000000"/>
      <w:spacing w:val="-20"/>
      <w:sz w:val="24"/>
      <w:szCs w:val="24"/>
    </w:rPr>
  </w:style>
  <w:style w:type="paragraph" w:styleId="919" w:customStyle="1">
    <w:name w:val="Char"/>
    <w:basedOn w:val="675"/>
    <w:uiPriority w:val="0"/>
    <w:qFormat/>
    <w:pPr>
      <w:numPr>
        <w:ilvl w:val="0"/>
        <w:numId w:val="1"/>
      </w:numPr>
    </w:pPr>
    <w:rPr>
      <w:sz w:val="24"/>
    </w:rPr>
  </w:style>
  <w:style w:type="paragraph" w:styleId="920" w:customStyle="1">
    <w:name w:val="Char2"/>
    <w:basedOn w:val="675"/>
    <w:uiPriority w:val="0"/>
    <w:qFormat/>
    <w:rPr>
      <w:rFonts w:ascii="Tahoma" w:hAnsi="Tahoma"/>
      <w:sz w:val="24"/>
      <w:szCs w:val="20"/>
    </w:rPr>
  </w:style>
  <w:style w:type="character" w:styleId="921" w:customStyle="1">
    <w:name w:val="正文（首行缩进两字） Char1"/>
    <w:uiPriority w:val="0"/>
    <w:qFormat/>
    <w:rPr>
      <w:rFonts w:eastAsia="宋体"/>
      <w:sz w:val="21"/>
      <w:szCs w:val="24"/>
      <w:lang w:val="en-US" w:eastAsia="zh-CN" w:bidi="ar-SA"/>
    </w:rPr>
  </w:style>
  <w:style w:type="paragraph" w:styleId="922" w:customStyle="1">
    <w:name w:val="Char Char"/>
    <w:basedOn w:val="675"/>
    <w:uiPriority w:val="0"/>
    <w:qFormat/>
    <w:rPr>
      <w:rFonts w:ascii="Tahoma" w:hAnsi="Tahoma"/>
      <w:sz w:val="24"/>
      <w:szCs w:val="20"/>
    </w:rPr>
  </w:style>
  <w:style w:type="paragraph" w:styleId="923" w:customStyle="1">
    <w:name w:val="默认段落字体 Para Char Char Char Char"/>
    <w:basedOn w:val="675"/>
    <w:uiPriority w:val="0"/>
    <w:qFormat/>
  </w:style>
  <w:style w:type="paragraph" w:styleId="924" w:customStyle="1">
    <w:name w:val="默认段落字体 Para Char Char"/>
    <w:basedOn w:val="675"/>
    <w:uiPriority w:val="0"/>
    <w:qFormat/>
  </w:style>
  <w:style w:type="paragraph" w:styleId="925" w:customStyle="1">
    <w:name w:val="金保标题1"/>
    <w:basedOn w:val="676"/>
    <w:next w:val="675"/>
    <w:uiPriority w:val="0"/>
    <w:qFormat/>
    <w:pPr>
      <w:numPr>
        <w:ilvl w:val="0"/>
        <w:numId w:val="2"/>
      </w:numPr>
      <w:jc w:val="center"/>
      <w:pageBreakBefore/>
      <w:spacing w:line="240" w:lineRule="auto"/>
    </w:pPr>
    <w:rPr>
      <w:rFonts w:ascii="黑体" w:hAnsi="Tahoma" w:eastAsia="黑体"/>
      <w:sz w:val="32"/>
      <w:szCs w:val="32"/>
    </w:rPr>
  </w:style>
  <w:style w:type="paragraph" w:styleId="926" w:customStyle="1">
    <w:name w:val="标题2"/>
    <w:basedOn w:val="677"/>
    <w:next w:val="675"/>
    <w:link w:val="927"/>
    <w:uiPriority w:val="0"/>
    <w:qFormat/>
    <w:pPr>
      <w:numPr>
        <w:ilvl w:val="1"/>
        <w:numId w:val="2"/>
      </w:numPr>
      <w:jc w:val="left"/>
      <w:spacing w:line="415" w:lineRule="auto"/>
    </w:pPr>
    <w:rPr>
      <w:rFonts w:ascii="Calibri" w:hAnsi="Calibri"/>
      <w:b w:val="0"/>
      <w:sz w:val="30"/>
      <w:szCs w:val="30"/>
    </w:rPr>
  </w:style>
  <w:style w:type="character" w:styleId="927" w:customStyle="1">
    <w:name w:val="标题2 Char"/>
    <w:link w:val="926"/>
    <w:uiPriority w:val="0"/>
    <w:qFormat/>
    <w:rPr>
      <w:rFonts w:eastAsia="黑体"/>
      <w:bCs/>
      <w:sz w:val="30"/>
      <w:szCs w:val="30"/>
      <w:lang w:val="en-US" w:eastAsia="zh-CN" w:bidi="ar-SA"/>
    </w:rPr>
  </w:style>
  <w:style w:type="paragraph" w:styleId="928" w:customStyle="1">
    <w:name w:val="金保标题3"/>
    <w:basedOn w:val="678"/>
    <w:next w:val="675"/>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29" w:customStyle="1">
    <w:name w:val="标准正文格式"/>
    <w:basedOn w:val="675"/>
    <w:link w:val="930"/>
    <w:uiPriority w:val="0"/>
    <w:qFormat/>
    <w:pPr>
      <w:ind w:firstLine="200"/>
      <w:spacing w:before="60" w:after="120" w:line="360" w:lineRule="auto"/>
      <w:widowControl/>
    </w:pPr>
    <w:rPr>
      <w:rFonts w:ascii="Calibri" w:hAnsi="Calibri" w:eastAsia="仿宋_GB2312"/>
      <w:bCs/>
      <w:sz w:val="28"/>
      <w:szCs w:val="20"/>
    </w:rPr>
  </w:style>
  <w:style w:type="character" w:styleId="930" w:customStyle="1">
    <w:name w:val="标准正文格式 Char"/>
    <w:link w:val="929"/>
    <w:uiPriority w:val="0"/>
    <w:qFormat/>
    <w:rPr>
      <w:rFonts w:eastAsia="仿宋_GB2312"/>
      <w:bCs/>
      <w:sz w:val="28"/>
      <w:lang w:val="en-US" w:eastAsia="zh-CN" w:bidi="ar-SA"/>
    </w:rPr>
  </w:style>
  <w:style w:type="paragraph" w:styleId="931">
    <w:name w:val="List Paragraph"/>
    <w:basedOn w:val="675"/>
    <w:uiPriority w:val="34"/>
    <w:qFormat/>
    <w:pPr>
      <w:ind w:firstLine="420"/>
    </w:pPr>
    <w:rPr>
      <w:rFonts w:ascii="Calibri" w:hAnsi="Calibri"/>
      <w:szCs w:val="20"/>
    </w:rPr>
  </w:style>
  <w:style w:type="paragraph" w:styleId="932" w:customStyle="1">
    <w:name w:val="样式 标题 1第一章：标题 1µÚÒ»ÕÂ£º±êÌâ 1合同标题H1标书1h1Section HeadingH..."/>
    <w:basedOn w:val="676"/>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33" w:customStyle="1">
    <w:name w:val="标准正文1"/>
    <w:basedOn w:val="675"/>
    <w:link w:val="934"/>
    <w:uiPriority w:val="0"/>
    <w:qFormat/>
    <w:pPr>
      <w:ind w:firstLine="420"/>
      <w:spacing w:line="288" w:lineRule="auto"/>
    </w:pPr>
    <w:rPr>
      <w:rFonts w:ascii="Calibri" w:hAnsi="Calibri" w:cs="宋体"/>
      <w:szCs w:val="20"/>
    </w:rPr>
  </w:style>
  <w:style w:type="character" w:styleId="934" w:customStyle="1">
    <w:name w:val="标准正文1 Char"/>
    <w:link w:val="933"/>
    <w:uiPriority w:val="0"/>
    <w:qFormat/>
    <w:rPr>
      <w:rFonts w:eastAsia="宋体" w:cs="宋体"/>
      <w:sz w:val="21"/>
      <w:lang w:val="en-US" w:eastAsia="zh-CN" w:bidi="ar-SA"/>
    </w:rPr>
  </w:style>
  <w:style w:type="paragraph" w:styleId="935" w:customStyle="1">
    <w:name w:val="样式 标题 2h22nd levelheading 2H2Title2H21Heading 2 HiddenHe...1"/>
    <w:basedOn w:val="677"/>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36" w:customStyle="1">
    <w:name w:val="样式 标题 3heading 3H3h33rd levelHeading 3 - oldl3CTLevel 3 ..."/>
    <w:basedOn w:val="678"/>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37" w:customStyle="1">
    <w:name w:val="Char Char Char Char Char Char Char Char Char Char Char Char Char Char Char Char"/>
    <w:basedOn w:val="675"/>
    <w:uiPriority w:val="0"/>
    <w:qFormat/>
    <w:rPr>
      <w:rFonts w:ascii="Tahoma" w:hAnsi="Tahoma" w:eastAsia="仿宋_GB2312"/>
      <w:color w:val="000000"/>
      <w:sz w:val="24"/>
      <w:szCs w:val="20"/>
    </w:rPr>
  </w:style>
  <w:style w:type="character" w:styleId="938" w:customStyle="1">
    <w:name w:val="grame"/>
    <w:basedOn w:val="685"/>
    <w:uiPriority w:val="0"/>
    <w:qFormat/>
  </w:style>
  <w:style w:type="character" w:styleId="939" w:customStyle="1">
    <w:name w:val="p101"/>
    <w:uiPriority w:val="0"/>
    <w:qFormat/>
    <w:rPr>
      <w:rFonts w:hint="default"/>
      <w:sz w:val="20"/>
      <w:u w:val="none"/>
    </w:rPr>
  </w:style>
  <w:style w:type="paragraph" w:styleId="940" w:customStyle="1">
    <w:name w:val="textfontgray"/>
    <w:basedOn w:val="675"/>
    <w:uiPriority w:val="0"/>
    <w:qFormat/>
    <w:pPr>
      <w:jc w:val="left"/>
      <w:spacing w:before="100" w:beforeAutospacing="1" w:after="100" w:afterAutospacing="1" w:line="432" w:lineRule="auto"/>
      <w:widowControl/>
    </w:pPr>
    <w:rPr>
      <w:color w:val="999999"/>
      <w:sz w:val="18"/>
      <w:szCs w:val="20"/>
    </w:rPr>
  </w:style>
  <w:style w:type="paragraph" w:styleId="941" w:customStyle="1">
    <w:name w:val="dashed"/>
    <w:basedOn w:val="675"/>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42" w:customStyle="1">
    <w:name w:val="salefont9"/>
    <w:basedOn w:val="675"/>
    <w:uiPriority w:val="0"/>
    <w:qFormat/>
    <w:pPr>
      <w:jc w:val="left"/>
      <w:spacing w:before="100" w:beforeAutospacing="1" w:after="100" w:afterAutospacing="1" w:line="384" w:lineRule="auto"/>
      <w:widowControl/>
    </w:pPr>
    <w:rPr>
      <w:color w:val="ff3300"/>
      <w:sz w:val="18"/>
      <w:szCs w:val="20"/>
    </w:rPr>
  </w:style>
  <w:style w:type="paragraph" w:styleId="943" w:customStyle="1">
    <w:name w:val="flType"/>
    <w:basedOn w:val="675"/>
    <w:uiPriority w:val="0"/>
    <w:qFormat/>
    <w:pPr>
      <w:jc w:val="center"/>
      <w:spacing w:after="284" w:line="113" w:lineRule="atLeast"/>
    </w:pPr>
    <w:rPr>
      <w:sz w:val="24"/>
      <w:szCs w:val="20"/>
    </w:rPr>
  </w:style>
  <w:style w:type="paragraph" w:styleId="944" w:customStyle="1">
    <w:name w:val="Char1"/>
    <w:basedOn w:val="690"/>
    <w:uiPriority w:val="0"/>
    <w:qFormat/>
    <w:rPr>
      <w:rFonts w:ascii="Tahoma" w:hAnsi="Tahoma"/>
      <w:sz w:val="24"/>
    </w:rPr>
  </w:style>
  <w:style w:type="paragraph" w:styleId="945" w:customStyle="1">
    <w:name w:val="序号正文"/>
    <w:basedOn w:val="675"/>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46" w:customStyle="1">
    <w:name w:val="p10"/>
    <w:basedOn w:val="675"/>
    <w:uiPriority w:val="0"/>
    <w:qFormat/>
    <w:pPr>
      <w:jc w:val="left"/>
      <w:spacing w:before="100" w:beforeAutospacing="1" w:after="100" w:afterAutospacing="1" w:line="432" w:lineRule="auto"/>
      <w:widowControl/>
    </w:pPr>
    <w:rPr>
      <w:color w:val="000000"/>
      <w:sz w:val="20"/>
      <w:szCs w:val="20"/>
    </w:rPr>
  </w:style>
  <w:style w:type="paragraph" w:styleId="947" w:customStyle="1">
    <w:name w:val="headfont9"/>
    <w:basedOn w:val="675"/>
    <w:uiPriority w:val="0"/>
    <w:qFormat/>
    <w:pPr>
      <w:jc w:val="left"/>
      <w:spacing w:before="100" w:beforeAutospacing="1" w:after="100" w:afterAutospacing="1"/>
      <w:widowControl/>
    </w:pPr>
    <w:rPr>
      <w:color w:val="ffffff"/>
      <w:sz w:val="18"/>
      <w:szCs w:val="20"/>
    </w:rPr>
  </w:style>
  <w:style w:type="paragraph" w:styleId="948" w:customStyle="1">
    <w:name w:val="textfont12"/>
    <w:basedOn w:val="675"/>
    <w:uiPriority w:val="0"/>
    <w:qFormat/>
    <w:pPr>
      <w:jc w:val="left"/>
      <w:spacing w:before="100" w:beforeAutospacing="1" w:after="100" w:afterAutospacing="1"/>
      <w:widowControl/>
    </w:pPr>
    <w:rPr>
      <w:b/>
      <w:color w:val="000000"/>
      <w:sz w:val="24"/>
      <w:szCs w:val="20"/>
    </w:rPr>
  </w:style>
  <w:style w:type="paragraph" w:styleId="949" w:customStyle="1">
    <w:name w:val="表1"/>
    <w:basedOn w:val="675"/>
    <w:uiPriority w:val="0"/>
    <w:qFormat/>
    <w:pPr>
      <w:jc w:val="center"/>
    </w:pPr>
    <w:rPr>
      <w:spacing w:val="20"/>
      <w:szCs w:val="20"/>
    </w:rPr>
  </w:style>
  <w:style w:type="paragraph" w:styleId="950" w:customStyle="1">
    <w:name w:val="p9"/>
    <w:basedOn w:val="675"/>
    <w:uiPriority w:val="0"/>
    <w:qFormat/>
    <w:pPr>
      <w:jc w:val="left"/>
      <w:spacing w:before="100" w:beforeAutospacing="1" w:after="100" w:afterAutospacing="1"/>
      <w:widowControl/>
    </w:pPr>
    <w:rPr>
      <w:color w:val="000000"/>
      <w:sz w:val="18"/>
      <w:szCs w:val="20"/>
    </w:rPr>
  </w:style>
  <w:style w:type="paragraph" w:styleId="951" w:customStyle="1">
    <w:name w:val="profont"/>
    <w:basedOn w:val="675"/>
    <w:uiPriority w:val="0"/>
    <w:qFormat/>
    <w:pPr>
      <w:jc w:val="left"/>
      <w:spacing w:before="100" w:beforeAutospacing="1" w:after="100" w:afterAutospacing="1"/>
      <w:widowControl/>
    </w:pPr>
    <w:rPr>
      <w:rFonts w:ascii="Verdana" w:hAnsi="Verdana"/>
      <w:b/>
      <w:color w:val="333333"/>
      <w:sz w:val="24"/>
      <w:szCs w:val="20"/>
    </w:rPr>
  </w:style>
  <w:style w:type="paragraph" w:styleId="952" w:customStyle="1">
    <w:name w:val="纯文本1"/>
    <w:basedOn w:val="675"/>
    <w:link w:val="953"/>
    <w:uiPriority w:val="0"/>
    <w:qFormat/>
    <w:rPr>
      <w:rFonts w:ascii="宋体" w:hAnsi="Courier New" w:eastAsia="楷体_GB2312"/>
      <w:sz w:val="28"/>
      <w:szCs w:val="20"/>
    </w:rPr>
  </w:style>
  <w:style w:type="character" w:styleId="953" w:customStyle="1">
    <w:name w:val="Plain Text Char"/>
    <w:link w:val="952"/>
    <w:uiPriority w:val="0"/>
    <w:qFormat/>
    <w:rPr>
      <w:rFonts w:ascii="宋体" w:hAnsi="Courier New" w:eastAsia="楷体_GB2312"/>
      <w:sz w:val="28"/>
    </w:rPr>
  </w:style>
  <w:style w:type="paragraph" w:styleId="954" w:customStyle="1">
    <w:name w:val="段"/>
    <w:uiPriority w:val="0"/>
    <w:qFormat/>
    <w:pPr>
      <w:ind w:firstLine="200"/>
      <w:jc w:val="both"/>
    </w:pPr>
    <w:rPr>
      <w:rFonts w:ascii="宋体" w:hAnsi="Times New Roman" w:eastAsia="宋体" w:cs="Times New Roman"/>
      <w:sz w:val="21"/>
      <w:lang w:val="en-US" w:eastAsia="zh-CN" w:bidi="ar-SA"/>
    </w:rPr>
  </w:style>
  <w:style w:type="paragraph" w:styleId="955" w:customStyle="1">
    <w:name w:val="font0"/>
    <w:basedOn w:val="675"/>
    <w:uiPriority w:val="0"/>
    <w:qFormat/>
    <w:pPr>
      <w:jc w:val="left"/>
      <w:spacing w:before="100" w:beforeAutospacing="1" w:after="100" w:afterAutospacing="1"/>
      <w:widowControl/>
    </w:pPr>
    <w:rPr>
      <w:rFonts w:hint="eastAsia" w:ascii="宋体" w:hAnsi="宋体"/>
      <w:sz w:val="24"/>
      <w:szCs w:val="20"/>
    </w:rPr>
  </w:style>
  <w:style w:type="paragraph" w:styleId="956" w:customStyle="1">
    <w:name w:val="input"/>
    <w:basedOn w:val="675"/>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57" w:customStyle="1">
    <w:name w:val="小标题"/>
    <w:basedOn w:val="675"/>
    <w:uiPriority w:val="0"/>
    <w:qFormat/>
    <w:rPr>
      <w:rFonts w:ascii="宋体" w:hAnsi="宋体"/>
      <w:b/>
      <w:sz w:val="24"/>
      <w:szCs w:val="20"/>
    </w:rPr>
  </w:style>
  <w:style w:type="paragraph" w:styleId="958" w:customStyle="1">
    <w:name w:val="样式 Arial 小四 行距: 1.5 倍行距"/>
    <w:basedOn w:val="675"/>
    <w:uiPriority w:val="0"/>
    <w:qFormat/>
    <w:pPr>
      <w:ind w:firstLine="480"/>
      <w:spacing w:line="360" w:lineRule="auto"/>
    </w:pPr>
    <w:rPr>
      <w:rFonts w:ascii="Arial" w:hAnsi="Arial"/>
      <w:sz w:val="24"/>
      <w:szCs w:val="20"/>
    </w:rPr>
  </w:style>
  <w:style w:type="paragraph" w:styleId="959" w:customStyle="1">
    <w:name w:val="条例"/>
    <w:basedOn w:val="675"/>
    <w:uiPriority w:val="0"/>
    <w:qFormat/>
    <w:pPr>
      <w:ind w:left="2" w:right="210" w:firstLine="2"/>
      <w:keepLines/>
      <w:spacing w:line="320" w:lineRule="exact"/>
      <w:widowControl/>
    </w:pPr>
    <w:rPr>
      <w:rFonts w:ascii="宋体" w:hAnsi="宋体"/>
      <w:sz w:val="24"/>
      <w:szCs w:val="20"/>
    </w:rPr>
  </w:style>
  <w:style w:type="paragraph" w:styleId="960" w:customStyle="1">
    <w:name w:val="符号列表"/>
    <w:basedOn w:val="675"/>
    <w:uiPriority w:val="0"/>
    <w:qFormat/>
    <w:pPr>
      <w:numPr>
        <w:ilvl w:val="0"/>
        <w:numId w:val="5"/>
      </w:numPr>
      <w:spacing w:line="440" w:lineRule="exact"/>
    </w:pPr>
    <w:rPr>
      <w:sz w:val="24"/>
      <w:szCs w:val="20"/>
    </w:rPr>
  </w:style>
  <w:style w:type="paragraph" w:styleId="961" w:customStyle="1">
    <w:name w:val="font5"/>
    <w:basedOn w:val="675"/>
    <w:uiPriority w:val="0"/>
    <w:qFormat/>
    <w:pPr>
      <w:jc w:val="left"/>
      <w:spacing w:before="100" w:beforeAutospacing="1" w:after="100" w:afterAutospacing="1"/>
      <w:widowControl/>
    </w:pPr>
    <w:rPr>
      <w:rFonts w:ascii="宋体" w:hAnsi="宋体" w:cs="宋体"/>
      <w:sz w:val="18"/>
      <w:szCs w:val="18"/>
    </w:rPr>
  </w:style>
  <w:style w:type="paragraph" w:styleId="962" w:customStyle="1">
    <w:name w:val="xl23"/>
    <w:basedOn w:val="675"/>
    <w:uiPriority w:val="0"/>
    <w:qFormat/>
    <w:pPr>
      <w:jc w:val="center"/>
      <w:spacing w:before="100" w:beforeAutospacing="1" w:after="100" w:afterAutospacing="1"/>
      <w:widowControl/>
    </w:pPr>
    <w:rPr>
      <w:rFonts w:ascii="宋体" w:hAnsi="宋体" w:cs="宋体"/>
      <w:sz w:val="24"/>
    </w:rPr>
  </w:style>
  <w:style w:type="paragraph" w:styleId="963" w:customStyle="1">
    <w:name w:val="xl2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4" w:customStyle="1">
    <w:name w:val="xl25"/>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5" w:customStyle="1">
    <w:name w:val="xl2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66" w:customStyle="1">
    <w:name w:val="xl2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7" w:customStyle="1">
    <w:name w:val="xl28"/>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68" w:customStyle="1">
    <w:name w:val="xl2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69" w:customStyle="1">
    <w:name w:val="xl30"/>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70" w:customStyle="1">
    <w:name w:val="xl3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71" w:customStyle="1">
    <w:name w:val="xl32"/>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72" w:customStyle="1">
    <w:name w:val="xl33"/>
    <w:basedOn w:val="67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973" w:customStyle="1">
    <w:name w:val="xl34"/>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74" w:customStyle="1">
    <w:name w:val="xl35"/>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975" w:customStyle="1">
    <w:name w:val="xl36"/>
    <w:basedOn w:val="67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976" w:customStyle="1">
    <w:name w:val="xl37"/>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977" w:customStyle="1">
    <w:name w:val="xl38"/>
    <w:basedOn w:val="675"/>
    <w:uiPriority w:val="0"/>
    <w:qFormat/>
    <w:pPr>
      <w:jc w:val="center"/>
      <w:spacing w:before="100" w:beforeAutospacing="1" w:after="100" w:afterAutospacing="1"/>
      <w:widowControl/>
    </w:pPr>
    <w:rPr>
      <w:rFonts w:ascii="宋体" w:hAnsi="宋体" w:cs="宋体"/>
      <w:b/>
      <w:bCs/>
      <w:sz w:val="32"/>
      <w:szCs w:val="32"/>
    </w:rPr>
  </w:style>
  <w:style w:type="paragraph" w:styleId="978" w:customStyle="1">
    <w:name w:val="xl39"/>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979" w:customStyle="1">
    <w:name w:val="xl40"/>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980" w:customStyle="1">
    <w:name w:val="style31"/>
    <w:uiPriority w:val="0"/>
    <w:qFormat/>
    <w:rPr>
      <w:sz w:val="23"/>
      <w:szCs w:val="23"/>
    </w:rPr>
  </w:style>
  <w:style w:type="character" w:styleId="981" w:customStyle="1">
    <w:name w:val="headertext"/>
    <w:basedOn w:val="685"/>
    <w:uiPriority w:val="0"/>
    <w:qFormat/>
  </w:style>
  <w:style w:type="character" w:styleId="982" w:customStyle="1">
    <w:name w:val="style5"/>
    <w:basedOn w:val="685"/>
    <w:uiPriority w:val="0"/>
    <w:qFormat/>
  </w:style>
  <w:style w:type="character" w:styleId="983" w:customStyle="1">
    <w:name w:val="style3"/>
    <w:basedOn w:val="685"/>
    <w:uiPriority w:val="0"/>
    <w:qFormat/>
  </w:style>
  <w:style w:type="character" w:styleId="984" w:customStyle="1">
    <w:name w:val="font1"/>
    <w:uiPriority w:val="0"/>
    <w:qFormat/>
    <w:rPr>
      <w:color w:val="0066cc"/>
      <w:sz w:val="18"/>
      <w:szCs w:val="18"/>
      <w:u w:val="none"/>
    </w:rPr>
  </w:style>
  <w:style w:type="character" w:styleId="985" w:customStyle="1">
    <w:name w:val="txt1"/>
    <w:uiPriority w:val="0"/>
    <w:qFormat/>
    <w:rPr>
      <w:rFonts w:hint="default"/>
      <w:sz w:val="18"/>
      <w:szCs w:val="18"/>
    </w:rPr>
  </w:style>
  <w:style w:type="character" w:styleId="986" w:customStyle="1">
    <w:name w:val="font-121"/>
    <w:uiPriority w:val="0"/>
    <w:qFormat/>
    <w:rPr>
      <w:color w:val="666666"/>
      <w:sz w:val="24"/>
      <w:szCs w:val="24"/>
      <w:u w:val="none"/>
    </w:rPr>
  </w:style>
  <w:style w:type="character" w:styleId="987" w:customStyle="1">
    <w:name w:val="style41"/>
    <w:uiPriority w:val="0"/>
    <w:qFormat/>
    <w:rPr>
      <w:color w:val="f49304"/>
    </w:rPr>
  </w:style>
  <w:style w:type="character" w:styleId="988" w:customStyle="1">
    <w:name w:val="正文缩进 Char"/>
    <w:uiPriority w:val="0"/>
    <w:qFormat/>
    <w:rPr>
      <w:rFonts w:eastAsia="宋体"/>
      <w:sz w:val="24"/>
      <w:lang w:val="en-US" w:eastAsia="zh-CN" w:bidi="ar-SA"/>
    </w:rPr>
  </w:style>
  <w:style w:type="character" w:styleId="989" w:customStyle="1">
    <w:name w:val="text1"/>
    <w:uiPriority w:val="0"/>
    <w:qFormat/>
    <w:rPr>
      <w:rFonts w:hint="default" w:ascii="ˎ̥" w:hAnsi="ˎ̥"/>
      <w:color w:val="000000"/>
      <w:sz w:val="18"/>
      <w:szCs w:val="18"/>
      <w:u w:val="none"/>
    </w:rPr>
  </w:style>
  <w:style w:type="character" w:styleId="990" w:customStyle="1">
    <w:name w:val="style61"/>
    <w:uiPriority w:val="0"/>
    <w:qFormat/>
    <w:rPr>
      <w:b/>
      <w:bCs/>
      <w:color w:val="f49304"/>
    </w:rPr>
  </w:style>
  <w:style w:type="character" w:styleId="991" w:customStyle="1">
    <w:name w:val="headerboxgreen"/>
    <w:basedOn w:val="685"/>
    <w:uiPriority w:val="0"/>
    <w:qFormat/>
  </w:style>
  <w:style w:type="character" w:styleId="992" w:customStyle="1">
    <w:name w:val="textnorm_chn1"/>
    <w:uiPriority w:val="0"/>
    <w:qFormat/>
    <w:rPr>
      <w:rFonts w:hint="default" w:ascii="Arial" w:hAnsi="Arial" w:cs="Arial"/>
      <w:color w:val="21254a"/>
      <w:sz w:val="22"/>
      <w:szCs w:val="22"/>
    </w:rPr>
  </w:style>
  <w:style w:type="character" w:styleId="993" w:customStyle="1">
    <w:name w:val="marklong"/>
    <w:basedOn w:val="685"/>
    <w:uiPriority w:val="0"/>
    <w:qFormat/>
  </w:style>
  <w:style w:type="character" w:styleId="994" w:customStyle="1">
    <w:name w:val="style51"/>
    <w:uiPriority w:val="0"/>
    <w:qFormat/>
    <w:rPr>
      <w:color w:val="ffffff"/>
    </w:rPr>
  </w:style>
  <w:style w:type="character" w:styleId="995" w:customStyle="1">
    <w:name w:val="Char Char4"/>
    <w:uiPriority w:val="0"/>
    <w:qFormat/>
    <w:rPr>
      <w:rFonts w:eastAsia="宋体"/>
      <w:b/>
      <w:bCs/>
      <w:sz w:val="44"/>
      <w:szCs w:val="44"/>
      <w:lang w:val="en-US" w:eastAsia="zh-CN" w:bidi="ar-SA"/>
    </w:rPr>
  </w:style>
  <w:style w:type="character" w:styleId="996" w:customStyle="1">
    <w:name w:val="H2 Char"/>
    <w:uiPriority w:val="0"/>
    <w:qFormat/>
    <w:rPr>
      <w:rFonts w:ascii="Arial" w:hAnsi="Arial" w:eastAsia="黑体"/>
      <w:b/>
      <w:bCs/>
      <w:sz w:val="32"/>
      <w:szCs w:val="32"/>
    </w:rPr>
  </w:style>
  <w:style w:type="character" w:styleId="997" w:customStyle="1">
    <w:name w:val="style35"/>
    <w:basedOn w:val="685"/>
    <w:uiPriority w:val="0"/>
    <w:qFormat/>
  </w:style>
  <w:style w:type="character" w:styleId="998" w:customStyle="1">
    <w:name w:val="black1"/>
    <w:uiPriority w:val="0"/>
    <w:qFormat/>
    <w:rPr>
      <w:b/>
      <w:bCs/>
      <w:color w:val="000000"/>
      <w:sz w:val="19"/>
      <w:szCs w:val="19"/>
    </w:rPr>
  </w:style>
  <w:style w:type="paragraph" w:styleId="999" w:customStyle="1">
    <w:name w:val="样式 标题 2 + 宋体 小四"/>
    <w:basedOn w:val="677"/>
    <w:next w:val="699"/>
    <w:uiPriority w:val="0"/>
    <w:qFormat/>
    <w:pPr>
      <w:spacing w:line="415" w:lineRule="auto"/>
    </w:pPr>
    <w:rPr>
      <w:rFonts w:ascii="宋体" w:hAnsi="宋体" w:eastAsia="宋体"/>
      <w:sz w:val="24"/>
    </w:rPr>
  </w:style>
  <w:style w:type="paragraph" w:styleId="1000" w:customStyle="1">
    <w:name w:val="CM20"/>
    <w:basedOn w:val="675"/>
    <w:next w:val="675"/>
    <w:uiPriority w:val="0"/>
    <w:qFormat/>
    <w:pPr>
      <w:jc w:val="left"/>
      <w:spacing w:after="115"/>
    </w:pPr>
    <w:rPr>
      <w:rFonts w:ascii=".a..DD.." w:eastAsia=".a..DD.."/>
      <w:sz w:val="24"/>
    </w:rPr>
  </w:style>
  <w:style w:type="paragraph" w:styleId="1001" w:customStyle="1">
    <w:name w:val="标准"/>
    <w:basedOn w:val="675"/>
    <w:uiPriority w:val="0"/>
    <w:qFormat/>
    <w:pPr>
      <w:spacing w:line="240" w:lineRule="atLeast"/>
    </w:pPr>
    <w:rPr>
      <w:rFonts w:eastAsia="楷体_GB2312"/>
      <w:sz w:val="24"/>
      <w:szCs w:val="20"/>
    </w:rPr>
  </w:style>
  <w:style w:type="paragraph" w:styleId="1002" w:customStyle="1">
    <w:name w:val="CM3"/>
    <w:basedOn w:val="1003"/>
    <w:next w:val="1003"/>
    <w:uiPriority w:val="0"/>
    <w:qFormat/>
    <w:pPr>
      <w:spacing w:line="626" w:lineRule="atLeast"/>
    </w:pPr>
    <w:rPr>
      <w:color w:val="auto"/>
    </w:rPr>
  </w:style>
  <w:style w:type="paragraph" w:styleId="1003"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004" w:customStyle="1">
    <w:name w:val="Char21"/>
    <w:basedOn w:val="675"/>
    <w:uiPriority w:val="0"/>
    <w:qFormat/>
    <w:rPr>
      <w:rFonts w:ascii="Tahoma" w:hAnsi="Tahoma"/>
      <w:sz w:val="24"/>
      <w:szCs w:val="20"/>
    </w:rPr>
  </w:style>
  <w:style w:type="paragraph" w:styleId="1005" w:customStyle="1">
    <w:name w:val="6"/>
    <w:basedOn w:val="675"/>
    <w:next w:val="695"/>
    <w:uiPriority w:val="0"/>
    <w:qFormat/>
    <w:pPr>
      <w:spacing w:after="120"/>
    </w:pPr>
  </w:style>
  <w:style w:type="paragraph" w:styleId="1006" w:customStyle="1">
    <w:name w:val="标题 61"/>
    <w:basedOn w:val="675"/>
    <w:uiPriority w:val="0"/>
    <w:qFormat/>
    <w:pPr>
      <w:jc w:val="left"/>
      <w:widowControl/>
      <w:outlineLvl w:val="6"/>
    </w:pPr>
    <w:rPr>
      <w:rFonts w:ascii="宋体" w:hAnsi="宋体" w:cs="宋体"/>
      <w:color w:val="00569b"/>
      <w:szCs w:val="21"/>
    </w:rPr>
  </w:style>
  <w:style w:type="paragraph" w:styleId="1007" w:customStyle="1">
    <w:name w:val="项符&gt;"/>
    <w:basedOn w:val="675"/>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08" w:customStyle="1">
    <w:name w:val="样式1"/>
    <w:basedOn w:val="676"/>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09" w:customStyle="1">
    <w:name w:val="样式2"/>
    <w:basedOn w:val="677"/>
    <w:uiPriority w:val="0"/>
    <w:qFormat/>
    <w:pPr>
      <w:numPr>
        <w:ilvl w:val="0"/>
        <w:numId w:val="6"/>
      </w:numPr>
      <w:spacing w:line="415" w:lineRule="auto"/>
      <w:tabs>
        <w:tab w:val="left" w:pos="840" w:leader="none"/>
      </w:tabs>
    </w:pPr>
    <w:rPr>
      <w:rFonts w:eastAsia="宋体"/>
      <w:sz w:val="24"/>
    </w:rPr>
  </w:style>
  <w:style w:type="paragraph" w:styleId="1010" w:customStyle="1">
    <w:name w:val="CM2"/>
    <w:basedOn w:val="1003"/>
    <w:next w:val="1003"/>
    <w:uiPriority w:val="0"/>
    <w:qFormat/>
    <w:pPr>
      <w:spacing w:line="623" w:lineRule="atLeast"/>
    </w:pPr>
    <w:rPr>
      <w:color w:val="auto"/>
    </w:rPr>
  </w:style>
  <w:style w:type="paragraph" w:styleId="1011" w:customStyle="1">
    <w:name w:val="样式 Verdana 首行缩进:  0.74 厘米"/>
    <w:basedOn w:val="675"/>
    <w:uiPriority w:val="0"/>
    <w:qFormat/>
    <w:pPr>
      <w:ind w:firstLine="420"/>
      <w:spacing w:line="360" w:lineRule="auto"/>
    </w:pPr>
    <w:rPr>
      <w:rFonts w:ascii="Verdana" w:hAnsi="Verdana" w:cs="宋体"/>
      <w:sz w:val="24"/>
      <w:szCs w:val="20"/>
    </w:rPr>
  </w:style>
  <w:style w:type="paragraph" w:styleId="1012" w:customStyle="1">
    <w:name w:val="样式 正文（首行缩进两字） + 首行缩进:  2 字符"/>
    <w:basedOn w:val="688"/>
    <w:uiPriority w:val="0"/>
    <w:qFormat/>
    <w:pPr>
      <w:ind w:firstLine="200"/>
      <w:jc w:val="both"/>
    </w:pPr>
    <w:rPr>
      <w:rFonts w:eastAsia="宋体"/>
      <w:sz w:val="21"/>
      <w:szCs w:val="24"/>
    </w:rPr>
  </w:style>
  <w:style w:type="paragraph" w:styleId="1013" w:customStyle="1">
    <w:name w:val="样式3"/>
    <w:basedOn w:val="1009"/>
    <w:next w:val="1009"/>
    <w:uiPriority w:val="0"/>
    <w:qFormat/>
  </w:style>
  <w:style w:type="paragraph" w:styleId="1014" w:customStyle="1">
    <w:name w:val="Char Char Char Char"/>
    <w:basedOn w:val="675"/>
    <w:uiPriority w:val="0"/>
    <w:qFormat/>
  </w:style>
  <w:style w:type="paragraph" w:styleId="1015" w:customStyle="1">
    <w:name w:val="Definition Term"/>
    <w:basedOn w:val="675"/>
    <w:next w:val="675"/>
    <w:uiPriority w:val="0"/>
    <w:qFormat/>
    <w:pPr>
      <w:jc w:val="left"/>
      <w:widowControl/>
    </w:pPr>
    <w:rPr>
      <w:sz w:val="20"/>
      <w:lang w:eastAsia="en-US"/>
    </w:rPr>
  </w:style>
  <w:style w:type="paragraph" w:styleId="1016" w:customStyle="1">
    <w:name w:val="7"/>
    <w:basedOn w:val="675"/>
    <w:next w:val="703"/>
    <w:uiPriority w:val="0"/>
    <w:qFormat/>
    <w:rPr>
      <w:rFonts w:ascii="宋体" w:hAnsi="Courier New"/>
      <w:sz w:val="24"/>
      <w:szCs w:val="20"/>
    </w:rPr>
  </w:style>
  <w:style w:type="paragraph" w:styleId="1017" w:customStyle="1">
    <w:name w:val="Char3"/>
    <w:basedOn w:val="675"/>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18" w:customStyle="1">
    <w:name w:val="-"/>
    <w:basedOn w:val="675"/>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19" w:customStyle="1">
    <w:name w:val="style8801"/>
    <w:basedOn w:val="675"/>
    <w:uiPriority w:val="0"/>
    <w:qFormat/>
    <w:pPr>
      <w:jc w:val="left"/>
      <w:spacing w:before="100" w:beforeAutospacing="1" w:after="100" w:afterAutospacing="1"/>
      <w:widowControl/>
    </w:pPr>
    <w:rPr>
      <w:rFonts w:ascii="宋体" w:hAnsi="宋体" w:cs="宋体"/>
      <w:color w:val="000000"/>
      <w:sz w:val="24"/>
    </w:rPr>
  </w:style>
  <w:style w:type="paragraph" w:styleId="1020" w:customStyle="1">
    <w:name w:val="biaoge1"/>
    <w:basedOn w:val="675"/>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21" w:customStyle="1">
    <w:name w:val="info4"/>
    <w:uiPriority w:val="0"/>
    <w:qFormat/>
  </w:style>
  <w:style w:type="paragraph" w:styleId="1022">
    <w:name w:val="No Spacing"/>
    <w:basedOn w:val="675"/>
    <w:link w:val="1023"/>
    <w:uiPriority w:val="0"/>
    <w:qFormat/>
    <w:pPr>
      <w:jc w:val="left"/>
      <w:widowControl/>
    </w:pPr>
    <w:rPr>
      <w:rFonts w:ascii="Cambria" w:hAnsi="Cambria"/>
      <w:sz w:val="22"/>
      <w:szCs w:val="22"/>
      <w:lang w:eastAsia="en-US" w:bidi="en-US"/>
    </w:rPr>
  </w:style>
  <w:style w:type="character" w:styleId="1023" w:customStyle="1">
    <w:name w:val="无间隔 字符"/>
    <w:link w:val="1022"/>
    <w:uiPriority w:val="0"/>
    <w:qFormat/>
    <w:rPr>
      <w:rFonts w:ascii="Cambria" w:hAnsi="Cambria" w:eastAsia="宋体"/>
      <w:sz w:val="22"/>
      <w:szCs w:val="22"/>
      <w:lang w:val="en-US" w:eastAsia="en-US" w:bidi="en-US"/>
    </w:rPr>
  </w:style>
  <w:style w:type="paragraph" w:styleId="1024">
    <w:name w:val="Quote"/>
    <w:basedOn w:val="675"/>
    <w:next w:val="675"/>
    <w:link w:val="1025"/>
    <w:uiPriority w:val="0"/>
    <w:qFormat/>
    <w:pPr>
      <w:jc w:val="left"/>
      <w:spacing w:after="200" w:line="276" w:lineRule="auto"/>
      <w:widowControl/>
    </w:pPr>
    <w:rPr>
      <w:rFonts w:ascii="Cambria" w:hAnsi="Cambria"/>
      <w:i/>
      <w:iCs/>
      <w:sz w:val="22"/>
      <w:szCs w:val="22"/>
      <w:lang w:eastAsia="en-US" w:bidi="en-US"/>
    </w:rPr>
  </w:style>
  <w:style w:type="character" w:styleId="1025" w:customStyle="1">
    <w:name w:val="引用 字符"/>
    <w:link w:val="1024"/>
    <w:uiPriority w:val="0"/>
    <w:qFormat/>
    <w:rPr>
      <w:rFonts w:ascii="Cambria" w:hAnsi="Cambria" w:eastAsia="宋体"/>
      <w:i/>
      <w:iCs/>
      <w:sz w:val="22"/>
      <w:szCs w:val="22"/>
      <w:lang w:val="en-US" w:eastAsia="en-US" w:bidi="en-US"/>
    </w:rPr>
  </w:style>
  <w:style w:type="paragraph" w:styleId="1026">
    <w:name w:val="Intense Quote"/>
    <w:basedOn w:val="675"/>
    <w:next w:val="675"/>
    <w:link w:val="1027"/>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27" w:customStyle="1">
    <w:name w:val="明显引用 字符"/>
    <w:link w:val="1026"/>
    <w:uiPriority w:val="0"/>
    <w:qFormat/>
    <w:rPr>
      <w:rFonts w:ascii="Cambria" w:hAnsi="Cambria" w:eastAsia="宋体"/>
      <w:i/>
      <w:iCs/>
      <w:sz w:val="22"/>
      <w:szCs w:val="22"/>
      <w:lang w:val="en-US" w:eastAsia="en-US" w:bidi="en-US"/>
    </w:rPr>
  </w:style>
  <w:style w:type="paragraph" w:styleId="1028" w:customStyle="1">
    <w:name w:val="TOC 标题11"/>
    <w:basedOn w:val="676"/>
    <w:next w:val="675"/>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29" w:customStyle="1">
    <w:name w:val="浅色列表 - 强调文字颜色 11"/>
    <w:basedOn w:val="686"/>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30" w:customStyle="1">
    <w:name w:val="浅色网格 - 强调文字颜色 11"/>
    <w:basedOn w:val="686"/>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31" w:customStyle="1">
    <w:name w:val="navtext"/>
    <w:basedOn w:val="675"/>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32" w:customStyle="1">
    <w:name w:val="锐丰正文 Char"/>
    <w:basedOn w:val="675"/>
    <w:link w:val="1033"/>
    <w:uiPriority w:val="0"/>
    <w:qFormat/>
    <w:pPr>
      <w:ind w:firstLine="200"/>
      <w:spacing w:line="520" w:lineRule="exact"/>
    </w:pPr>
    <w:rPr>
      <w:rFonts w:ascii="Calibri" w:hAnsi="Calibri" w:eastAsia="楷体_GB2312"/>
      <w:sz w:val="28"/>
      <w:lang w:eastAsia="en-US" w:bidi="en-US"/>
    </w:rPr>
  </w:style>
  <w:style w:type="character" w:styleId="1033" w:customStyle="1">
    <w:name w:val="锐丰正文 Char Char"/>
    <w:link w:val="1032"/>
    <w:uiPriority w:val="0"/>
    <w:qFormat/>
    <w:rPr>
      <w:rFonts w:eastAsia="楷体_GB2312"/>
      <w:sz w:val="28"/>
      <w:szCs w:val="24"/>
      <w:lang w:val="en-US" w:eastAsia="en-US" w:bidi="en-US"/>
    </w:rPr>
  </w:style>
  <w:style w:type="paragraph" w:styleId="1034" w:customStyle="1">
    <w:name w:val="锐丰图片"/>
    <w:link w:val="1035"/>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35" w:customStyle="1">
    <w:name w:val="锐丰图片 Char"/>
    <w:link w:val="1034"/>
    <w:uiPriority w:val="0"/>
    <w:qFormat/>
    <w:rPr>
      <w:rFonts w:eastAsia="楷体_GB2312"/>
      <w:color w:val="0000ff"/>
      <w:sz w:val="28"/>
      <w:szCs w:val="28"/>
      <w:lang w:val="en-US" w:eastAsia="zh-CN" w:bidi="ar-SA"/>
    </w:rPr>
  </w:style>
  <w:style w:type="paragraph" w:styleId="1036" w:customStyle="1">
    <w:name w:val="锐丰图片 Char Char"/>
    <w:link w:val="1037"/>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37" w:customStyle="1">
    <w:name w:val="锐丰图片 Char Char Char"/>
    <w:link w:val="1036"/>
    <w:uiPriority w:val="0"/>
    <w:qFormat/>
    <w:rPr>
      <w:rFonts w:eastAsia="楷体_GB2312"/>
      <w:color w:val="0000ff"/>
      <w:sz w:val="28"/>
      <w:szCs w:val="28"/>
      <w:lang w:val="en-US" w:eastAsia="zh-CN" w:bidi="ar-SA"/>
    </w:rPr>
  </w:style>
  <w:style w:type="paragraph" w:styleId="1038" w:customStyle="1">
    <w:name w:val="样式 样式 标题 4 + 楷体_GB2312 非加粗 段前: 0 磅 段后: 0 磅 + 段前: 0.5 行"/>
    <w:basedOn w:val="675"/>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39" w:customStyle="1">
    <w:name w:val="锐丰表格"/>
    <w:basedOn w:val="675"/>
    <w:uiPriority w:val="0"/>
    <w:qFormat/>
    <w:pPr>
      <w:jc w:val="left"/>
    </w:pPr>
    <w:rPr>
      <w:rFonts w:ascii="Arial" w:hAnsi="Arial" w:cs="Arial"/>
      <w:sz w:val="24"/>
      <w:lang w:eastAsia="en-US" w:bidi="en-US"/>
    </w:rPr>
  </w:style>
  <w:style w:type="paragraph" w:styleId="1040" w:customStyle="1">
    <w:name w:val="bodytext"/>
    <w:basedOn w:val="675"/>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41" w:customStyle="1">
    <w:name w:val="样式 (中文) 楷体_GB2312 四号 左 行距: 固定值 28 磅"/>
    <w:basedOn w:val="675"/>
    <w:uiPriority w:val="0"/>
    <w:qFormat/>
    <w:pPr>
      <w:ind w:firstLine="200"/>
      <w:jc w:val="left"/>
      <w:spacing w:line="560" w:lineRule="exact"/>
    </w:pPr>
    <w:rPr>
      <w:rFonts w:eastAsia="楷体_GB2312" w:cs="宋体"/>
      <w:sz w:val="28"/>
      <w:szCs w:val="22"/>
      <w:lang w:eastAsia="en-US" w:bidi="en-US"/>
    </w:rPr>
  </w:style>
  <w:style w:type="paragraph" w:styleId="1042" w:customStyle="1">
    <w:name w:val="锐丰正文"/>
    <w:basedOn w:val="675"/>
    <w:uiPriority w:val="0"/>
    <w:qFormat/>
    <w:pPr>
      <w:ind w:firstLine="200"/>
      <w:spacing w:line="520" w:lineRule="exact"/>
    </w:pPr>
    <w:rPr>
      <w:rFonts w:eastAsia="楷体_GB2312"/>
      <w:sz w:val="28"/>
      <w:lang w:eastAsia="en-US" w:bidi="en-US"/>
    </w:rPr>
  </w:style>
  <w:style w:type="paragraph" w:styleId="1043" w:customStyle="1">
    <w:name w:val="锐丰编号3"/>
    <w:basedOn w:val="1042"/>
    <w:uiPriority w:val="0"/>
    <w:qFormat/>
    <w:pPr>
      <w:numPr>
        <w:ilvl w:val="0"/>
        <w:numId w:val="7"/>
      </w:numPr>
      <w:ind w:firstLine="0"/>
    </w:pPr>
    <w:rPr>
      <w:szCs w:val="20"/>
    </w:rPr>
  </w:style>
  <w:style w:type="paragraph" w:styleId="1044" w:customStyle="1">
    <w:name w:val="锐丰编号二"/>
    <w:basedOn w:val="1042"/>
    <w:uiPriority w:val="0"/>
    <w:qFormat/>
    <w:pPr>
      <w:numPr>
        <w:ilvl w:val="0"/>
        <w:numId w:val="8"/>
      </w:numPr>
      <w:ind w:firstLine="0"/>
    </w:pPr>
    <w:rPr>
      <w:szCs w:val="20"/>
    </w:rPr>
  </w:style>
  <w:style w:type="paragraph" w:styleId="1045" w:customStyle="1">
    <w:name w:val="样式 宋体 小三 行距: 1.5 倍行距1"/>
    <w:basedOn w:val="695"/>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46" w:customStyle="1">
    <w:name w:val="bigtitle1"/>
    <w:uiPriority w:val="0"/>
    <w:qFormat/>
    <w:rPr>
      <w:rFonts w:hint="default" w:ascii="Arial" w:hAnsi="Arial" w:cs="Arial"/>
      <w:color w:val="263470"/>
      <w:sz w:val="48"/>
      <w:szCs w:val="48"/>
    </w:rPr>
  </w:style>
  <w:style w:type="character" w:styleId="1047" w:customStyle="1">
    <w:name w:val="product_nav_bg1"/>
    <w:basedOn w:val="685"/>
    <w:uiPriority w:val="0"/>
    <w:qFormat/>
  </w:style>
  <w:style w:type="paragraph" w:styleId="1048" w:customStyle="1">
    <w:name w:val="标题 3 + 宋体"/>
    <w:basedOn w:val="677"/>
    <w:uiPriority w:val="0"/>
    <w:qFormat/>
    <w:pPr>
      <w:keepLines w:val="0"/>
      <w:spacing w:before="0" w:after="0" w:line="360" w:lineRule="auto"/>
    </w:pPr>
    <w:rPr>
      <w:rFonts w:ascii="宋体" w:hAnsi="宋体" w:eastAsia="宋体"/>
      <w:caps/>
      <w:smallCaps/>
      <w:color w:val="000000"/>
      <w:sz w:val="21"/>
      <w:szCs w:val="21"/>
      <w:lang w:bidi="en-US"/>
    </w:rPr>
  </w:style>
  <w:style w:type="paragraph" w:styleId="1049" w:customStyle="1">
    <w:name w:val="样式 样式 标题 2H2Heading 2 HiddenHeading 2 CCBS部分标题h2Underrubrik1... ..."/>
    <w:basedOn w:val="675"/>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50" w:customStyle="1">
    <w:name w:val="列出段落1"/>
    <w:basedOn w:val="675"/>
    <w:uiPriority w:val="0"/>
    <w:qFormat/>
    <w:pPr>
      <w:ind w:firstLine="420"/>
    </w:pPr>
    <w:rPr>
      <w:sz w:val="28"/>
    </w:rPr>
  </w:style>
  <w:style w:type="character" w:styleId="1051" w:customStyle="1">
    <w:name w:val="Heading 3 Char"/>
    <w:uiPriority w:val="0"/>
    <w:qFormat/>
    <w:rPr>
      <w:rFonts w:eastAsia="黑体" w:cs="Times New Roman"/>
      <w:b/>
      <w:bCs/>
      <w:sz w:val="32"/>
      <w:szCs w:val="32"/>
    </w:rPr>
  </w:style>
  <w:style w:type="character" w:styleId="1052" w:customStyle="1">
    <w:name w:val="short_text"/>
    <w:basedOn w:val="685"/>
    <w:uiPriority w:val="0"/>
    <w:qFormat/>
  </w:style>
  <w:style w:type="character" w:styleId="1053" w:customStyle="1">
    <w:name w:val="普通文字 Char1"/>
    <w:uiPriority w:val="0"/>
    <w:qFormat/>
    <w:rPr>
      <w:rFonts w:ascii="宋体" w:hAnsi="Courier New" w:eastAsia="楷体_GB2312"/>
      <w:sz w:val="28"/>
      <w:lang w:val="en-US" w:eastAsia="zh-CN" w:bidi="ar-SA"/>
    </w:rPr>
  </w:style>
  <w:style w:type="paragraph" w:styleId="1054" w:customStyle="1">
    <w:name w:val="样式 仿宋_GB2312 四号 黑色 行距: 1.5 倍行距1"/>
    <w:basedOn w:val="675"/>
    <w:uiPriority w:val="0"/>
    <w:qFormat/>
    <w:pPr>
      <w:spacing w:line="360" w:lineRule="auto"/>
    </w:pPr>
    <w:rPr>
      <w:rFonts w:ascii="仿宋_GB2312" w:hAnsi="宋体" w:eastAsia="仿宋_GB2312"/>
      <w:color w:val="000000"/>
      <w:sz w:val="24"/>
      <w:szCs w:val="20"/>
    </w:rPr>
  </w:style>
  <w:style w:type="character" w:styleId="1055"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56" w:customStyle="1">
    <w:name w:val="纯文本3"/>
    <w:basedOn w:val="675"/>
    <w:uiPriority w:val="0"/>
    <w:qFormat/>
    <w:rPr>
      <w:rFonts w:hint="eastAsia" w:ascii="宋体" w:hAnsi="Courier New" w:eastAsia="楷体_GB2312"/>
      <w:sz w:val="28"/>
      <w:szCs w:val="20"/>
    </w:rPr>
  </w:style>
  <w:style w:type="paragraph" w:styleId="1057" w:customStyle="1">
    <w:name w:val="p0"/>
    <w:basedOn w:val="675"/>
    <w:uiPriority w:val="0"/>
    <w:qFormat/>
    <w:pPr>
      <w:jc w:val="left"/>
      <w:spacing w:before="100" w:beforeAutospacing="1" w:after="100" w:afterAutospacing="1"/>
      <w:widowControl/>
    </w:pPr>
    <w:rPr>
      <w:rFonts w:ascii="宋体" w:hAnsi="宋体" w:cs="宋体"/>
      <w:sz w:val="24"/>
    </w:rPr>
  </w:style>
  <w:style w:type="paragraph" w:styleId="1058" w:customStyle="1">
    <w:name w:val="p15"/>
    <w:basedOn w:val="675"/>
    <w:uiPriority w:val="0"/>
    <w:qFormat/>
    <w:pPr>
      <w:widowControl/>
    </w:pPr>
    <w:rPr>
      <w:rFonts w:ascii="宋体" w:hAnsi="宋体" w:cs="宋体"/>
      <w:sz w:val="28"/>
      <w:szCs w:val="28"/>
    </w:rPr>
  </w:style>
  <w:style w:type="paragraph" w:styleId="1059" w:customStyle="1">
    <w:name w:val="纯文本11"/>
    <w:basedOn w:val="675"/>
    <w:link w:val="1060"/>
    <w:uiPriority w:val="0"/>
    <w:qFormat/>
    <w:rPr>
      <w:rFonts w:ascii="宋体" w:hAnsi="Courier New" w:eastAsia="楷体_GB2312"/>
      <w:sz w:val="28"/>
      <w:szCs w:val="20"/>
    </w:rPr>
  </w:style>
  <w:style w:type="character" w:styleId="1060" w:customStyle="1">
    <w:name w:val="Plain Text Char Char"/>
    <w:link w:val="1059"/>
    <w:uiPriority w:val="0"/>
    <w:qFormat/>
    <w:rPr>
      <w:rFonts w:ascii="宋体" w:hAnsi="Courier New" w:eastAsia="楷体_GB2312"/>
      <w:sz w:val="28"/>
    </w:rPr>
  </w:style>
  <w:style w:type="paragraph" w:styleId="1061" w:customStyle="1">
    <w:name w:val="列出段落4"/>
    <w:basedOn w:val="675"/>
    <w:uiPriority w:val="34"/>
    <w:qFormat/>
    <w:pPr>
      <w:ind w:firstLine="420"/>
      <w:jc w:val="left"/>
      <w:spacing w:after="200"/>
      <w:widowControl/>
    </w:pPr>
    <w:rPr>
      <w:rFonts w:ascii="Tahoma" w:hAnsi="Tahoma" w:eastAsia="微软雅黑"/>
      <w:sz w:val="22"/>
      <w:szCs w:val="22"/>
    </w:rPr>
  </w:style>
  <w:style w:type="character" w:styleId="1062" w:customStyle="1">
    <w:name w:val="正文缩进 字符"/>
    <w:uiPriority w:val="0"/>
    <w:qFormat/>
    <w:rPr>
      <w:rFonts w:eastAsia="楷体_GB2312"/>
      <w:sz w:val="24"/>
      <w:lang w:val="en-US" w:eastAsia="zh-CN" w:bidi="ar-SA"/>
    </w:rPr>
  </w:style>
  <w:style w:type="paragraph" w:styleId="1063" w:customStyle="1">
    <w:name w:val="纯文本2"/>
    <w:basedOn w:val="675"/>
    <w:uiPriority w:val="0"/>
    <w:qFormat/>
    <w:rPr>
      <w:rFonts w:hint="eastAsia" w:ascii="宋体" w:hAnsi="Courier New" w:eastAsia="楷体_GB2312"/>
      <w:sz w:val="28"/>
      <w:szCs w:val="20"/>
    </w:rPr>
  </w:style>
  <w:style w:type="paragraph" w:styleId="1064" w:customStyle="1">
    <w:name w:val="纯文本4"/>
    <w:basedOn w:val="675"/>
    <w:uiPriority w:val="0"/>
    <w:qFormat/>
    <w:rPr>
      <w:rFonts w:ascii="宋体" w:hAnsi="Courier New" w:eastAsia="楷体_GB2312"/>
      <w:sz w:val="28"/>
      <w:szCs w:val="20"/>
    </w:rPr>
  </w:style>
  <w:style w:type="character" w:styleId="1065" w:customStyle="1">
    <w:name w:val="标题 2 字符"/>
    <w:uiPriority w:val="9"/>
    <w:qFormat/>
    <w:rPr>
      <w:rFonts w:ascii="Arial" w:hAnsi="Arial" w:eastAsia="黑体"/>
      <w:b/>
      <w:bCs/>
      <w:sz w:val="32"/>
      <w:szCs w:val="32"/>
    </w:rPr>
  </w:style>
  <w:style w:type="paragraph" w:styleId="1066" w:customStyle="1">
    <w:name w:val="纯文本41"/>
    <w:basedOn w:val="675"/>
    <w:uiPriority w:val="0"/>
    <w:qFormat/>
    <w:rPr>
      <w:rFonts w:ascii="宋体" w:hAnsi="Courier New" w:eastAsia="楷体_GB2312"/>
      <w:sz w:val="28"/>
      <w:szCs w:val="20"/>
    </w:rPr>
  </w:style>
  <w:style w:type="character" w:styleId="1067" w:customStyle="1">
    <w:name w:val="批注文字 字符"/>
    <w:basedOn w:val="685"/>
    <w:link w:val="691"/>
    <w:uiPriority w:val="0"/>
    <w:semiHidden/>
    <w:qFormat/>
    <w:rPr>
      <w:rFonts w:ascii="Times New Roman" w:hAnsi="Times New Roman"/>
      <w:sz w:val="21"/>
      <w:szCs w:val="24"/>
    </w:rPr>
  </w:style>
  <w:style w:type="paragraph" w:styleId="1068" w:customStyle="1">
    <w:name w:val="纯文本12"/>
    <w:basedOn w:val="675"/>
    <w:uiPriority w:val="0"/>
    <w:qFormat/>
    <w:rPr>
      <w:rFonts w:ascii="宋体" w:hAnsi="Courier New" w:eastAsia="楷体_GB2312"/>
      <w:sz w:val="28"/>
      <w:szCs w:val="20"/>
    </w:rPr>
  </w:style>
  <w:style w:type="character" w:styleId="1069" w:customStyle="1">
    <w:name w:val="正文文本缩进 Char1"/>
    <w:uiPriority w:val="0"/>
    <w:qFormat/>
    <w:rPr>
      <w:rFonts w:ascii="方正仿宋简体" w:hAnsi="创艺简仿宋" w:eastAsia="方正仿宋简体"/>
      <w:sz w:val="24"/>
    </w:rPr>
  </w:style>
  <w:style w:type="character" w:styleId="1070" w:customStyle="1">
    <w:name w:val="批注主题 字符"/>
    <w:basedOn w:val="1067"/>
    <w:link w:val="727"/>
    <w:uiPriority w:val="0"/>
    <w:semiHidden/>
    <w:qFormat/>
    <w:rPr>
      <w:rFonts w:ascii="Times New Roman" w:hAnsi="Times New Roman"/>
      <w:b/>
      <w:bCs/>
      <w:sz w:val="21"/>
      <w:szCs w:val="24"/>
    </w:rPr>
  </w:style>
  <w:style w:type="paragraph" w:styleId="1071" w:customStyle="1">
    <w:name w:val="*正文"/>
    <w:basedOn w:val="675"/>
    <w:uiPriority w:val="0"/>
    <w:qFormat/>
    <w:pPr>
      <w:ind w:firstLine="480"/>
      <w:spacing w:line="360" w:lineRule="auto"/>
    </w:pPr>
    <w:rPr>
      <w:rFonts w:ascii="Arial" w:hAnsi="Arial" w:cs="宋体"/>
      <w:sz w:val="28"/>
      <w:szCs w:val="21"/>
    </w:rPr>
  </w:style>
  <w:style w:type="paragraph" w:styleId="1072" w:customStyle="1">
    <w:name w:val="msonormal"/>
    <w:basedOn w:val="675"/>
    <w:uiPriority w:val="0"/>
    <w:qFormat/>
    <w:pPr>
      <w:jc w:val="left"/>
      <w:spacing w:before="100" w:beforeAutospacing="1" w:after="100" w:afterAutospacing="1"/>
      <w:widowControl/>
    </w:pPr>
    <w:rPr>
      <w:rFonts w:ascii="宋体" w:hAnsi="宋体" w:cs="宋体"/>
      <w:sz w:val="24"/>
    </w:rPr>
  </w:style>
  <w:style w:type="paragraph" w:styleId="1073" w:customStyle="1">
    <w:name w:val="font6"/>
    <w:basedOn w:val="675"/>
    <w:uiPriority w:val="0"/>
    <w:qFormat/>
    <w:pPr>
      <w:jc w:val="left"/>
      <w:spacing w:before="100" w:beforeAutospacing="1" w:after="100" w:afterAutospacing="1"/>
      <w:widowControl/>
    </w:pPr>
    <w:rPr>
      <w:rFonts w:ascii="Calibri" w:hAnsi="Calibri" w:cs="Calibri"/>
      <w:color w:val="000000"/>
      <w:szCs w:val="21"/>
    </w:rPr>
  </w:style>
  <w:style w:type="paragraph" w:styleId="1074" w:customStyle="1">
    <w:name w:val="font7"/>
    <w:basedOn w:val="675"/>
    <w:uiPriority w:val="0"/>
    <w:qFormat/>
    <w:pPr>
      <w:jc w:val="left"/>
      <w:spacing w:before="100" w:beforeAutospacing="1" w:after="100" w:afterAutospacing="1"/>
      <w:widowControl/>
    </w:pPr>
    <w:rPr>
      <w:rFonts w:ascii="宋体" w:hAnsi="宋体" w:cs="宋体"/>
      <w:color w:val="000000"/>
      <w:szCs w:val="21"/>
    </w:rPr>
  </w:style>
  <w:style w:type="paragraph" w:styleId="1075" w:customStyle="1">
    <w:name w:val="font8"/>
    <w:basedOn w:val="675"/>
    <w:uiPriority w:val="0"/>
    <w:qFormat/>
    <w:pPr>
      <w:jc w:val="left"/>
      <w:spacing w:before="100" w:beforeAutospacing="1" w:after="100" w:afterAutospacing="1"/>
      <w:widowControl/>
    </w:pPr>
    <w:rPr>
      <w:rFonts w:ascii="Calibri" w:hAnsi="Calibri" w:cs="Calibri"/>
      <w:color w:val="000000"/>
      <w:szCs w:val="21"/>
    </w:rPr>
  </w:style>
  <w:style w:type="paragraph" w:styleId="1076" w:customStyle="1">
    <w:name w:val="font9"/>
    <w:basedOn w:val="675"/>
    <w:uiPriority w:val="0"/>
    <w:qFormat/>
    <w:pPr>
      <w:jc w:val="left"/>
      <w:spacing w:before="100" w:beforeAutospacing="1" w:after="100" w:afterAutospacing="1"/>
      <w:widowControl/>
    </w:pPr>
    <w:rPr>
      <w:rFonts w:ascii="Calibri" w:hAnsi="Calibri" w:cs="Calibri"/>
      <w:color w:val="333333"/>
      <w:szCs w:val="21"/>
    </w:rPr>
  </w:style>
  <w:style w:type="paragraph" w:styleId="1077" w:customStyle="1">
    <w:name w:val="font10"/>
    <w:basedOn w:val="675"/>
    <w:uiPriority w:val="0"/>
    <w:qFormat/>
    <w:pPr>
      <w:jc w:val="left"/>
      <w:spacing w:before="100" w:beforeAutospacing="1" w:after="100" w:afterAutospacing="1"/>
      <w:widowControl/>
    </w:pPr>
    <w:rPr>
      <w:rFonts w:ascii="宋体" w:hAnsi="宋体" w:cs="宋体"/>
      <w:color w:val="333333"/>
      <w:szCs w:val="21"/>
    </w:rPr>
  </w:style>
  <w:style w:type="paragraph" w:styleId="1078" w:customStyle="1">
    <w:name w:val="xl65"/>
    <w:basedOn w:val="675"/>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079" w:customStyle="1">
    <w:name w:val="xl66"/>
    <w:basedOn w:val="675"/>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080" w:customStyle="1">
    <w:name w:val="xl67"/>
    <w:basedOn w:val="67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081" w:customStyle="1">
    <w:name w:val="xl68"/>
    <w:basedOn w:val="67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2" w:customStyle="1">
    <w:name w:val="xl69"/>
    <w:basedOn w:val="675"/>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083" w:customStyle="1">
    <w:name w:val="xl7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4" w:customStyle="1">
    <w:name w:val="xl71"/>
    <w:basedOn w:val="67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5" w:customStyle="1">
    <w:name w:val="xl72"/>
    <w:basedOn w:val="675"/>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086" w:customStyle="1">
    <w:name w:val="xl73"/>
    <w:basedOn w:val="675"/>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087" w:customStyle="1">
    <w:name w:val="xl74"/>
    <w:basedOn w:val="67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088" w:customStyle="1">
    <w:name w:val="Plain Text11"/>
    <w:basedOn w:val="675"/>
    <w:uiPriority w:val="0"/>
    <w:qFormat/>
    <w:rPr>
      <w:rFonts w:ascii="宋体" w:hAnsi="Courier New" w:eastAsia="楷体_GB2312"/>
      <w:sz w:val="28"/>
      <w:szCs w:val="20"/>
    </w:rPr>
  </w:style>
  <w:style w:type="paragraph" w:styleId="1089" w:customStyle="1">
    <w:name w:val="列出段落3"/>
    <w:basedOn w:val="675"/>
    <w:uiPriority w:val="34"/>
    <w:qFormat/>
    <w:pPr>
      <w:ind w:firstLine="420"/>
    </w:pPr>
  </w:style>
  <w:style w:type="character" w:styleId="1090" w:customStyle="1">
    <w:name w:val="font31"/>
    <w:uiPriority w:val="0"/>
    <w:qFormat/>
    <w:rPr>
      <w:rFonts w:hint="eastAsia" w:ascii="宋体" w:hAnsi="宋体" w:eastAsia="宋体" w:cs="宋体"/>
      <w:color w:val="333333"/>
      <w:sz w:val="21"/>
      <w:szCs w:val="21"/>
      <w:u w:val="none"/>
    </w:rPr>
  </w:style>
  <w:style w:type="paragraph" w:styleId="1091" w:customStyle="1">
    <w:name w:val="正文文本1"/>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1092" w:customStyle="1">
    <w:name w:val="正文首行缩进 21"/>
    <w:uiPriority w:val="99"/>
    <w:unhideWhenUsed/>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1093" w:customStyle="1">
    <w:name w:val="正文文本缩进1"/>
    <w:uiPriority w:val="0"/>
    <w:qFormat/>
    <w:pPr>
      <w:ind w:firstLine="420"/>
      <w:jc w:val="both"/>
      <w:spacing w:line="360" w:lineRule="auto"/>
      <w:widowControl w:val="off"/>
    </w:pPr>
    <w:rPr>
      <w:rFonts w:hint="default" w:ascii="宋体" w:hAnsi="宋体" w:eastAsia="宋体" w:cs="Times New Roman"/>
      <w:sz w:val="21"/>
      <w:szCs w:val="24"/>
      <w:lang w:val="en-US" w:eastAsia="en-US" w:bidi="ar-SA"/>
    </w:rPr>
  </w:style>
  <w:style w:type="numbering" w:styleId="118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6</cp:revision>
  <dcterms:created xsi:type="dcterms:W3CDTF">2025-02-26T08:05:00Z</dcterms:created>
  <dcterms:modified xsi:type="dcterms:W3CDTF">2025-10-29T07:24:38Z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BD6AFA33CEE84699AC8C24D85928ADE9_13</vt:lpwstr>
  </property>
  <property fmtid="{D5CDD505-2E9C-101B-9397-08002B2CF9AE}" pid="4" name="KSOTemplateDocerSaveRecord">
    <vt:lpwstr>eyJoZGlkIjoiMDVhMTM5MTc0OGI0ZjRlZWEyNjM4ODljYzMyNmFhNjIiLCJ1c2VySWQiOiI2ODgxMzEwNzgifQ==</vt:lpwstr>
  </property>
</Properties>
</file>